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05" w:rsidRPr="00423E91" w:rsidRDefault="00C00005" w:rsidP="000D1A9C">
      <w:pPr>
        <w:pStyle w:val="Sinespaciado"/>
        <w:rPr>
          <w:b/>
          <w:lang w:val="es-ES_tradnl"/>
        </w:rPr>
      </w:pPr>
      <w:r w:rsidRPr="00423E91">
        <w:rPr>
          <w:b/>
          <w:lang w:val="es-ES_tradnl"/>
        </w:rPr>
        <w:t>DIPUTAD</w:t>
      </w:r>
      <w:r w:rsidR="009B27ED" w:rsidRPr="00423E91">
        <w:rPr>
          <w:b/>
          <w:lang w:val="es-ES_tradnl"/>
        </w:rPr>
        <w:t>A ISABELA ROSALES HERRERA</w:t>
      </w:r>
    </w:p>
    <w:p w:rsidR="00C00005" w:rsidRPr="00C00005" w:rsidRDefault="00C00005" w:rsidP="00871FDF">
      <w:pPr>
        <w:spacing w:after="0" w:line="240" w:lineRule="auto"/>
        <w:jc w:val="both"/>
        <w:rPr>
          <w:b/>
          <w:szCs w:val="24"/>
          <w:lang w:val="es-ES_tradnl"/>
        </w:rPr>
      </w:pPr>
      <w:r w:rsidRPr="00C00005">
        <w:rPr>
          <w:b/>
          <w:szCs w:val="24"/>
          <w:lang w:val="es-ES_tradnl"/>
        </w:rPr>
        <w:t>PRESIDENT</w:t>
      </w:r>
      <w:r w:rsidR="009B27ED">
        <w:rPr>
          <w:b/>
          <w:szCs w:val="24"/>
          <w:lang w:val="es-ES_tradnl"/>
        </w:rPr>
        <w:t>A</w:t>
      </w:r>
      <w:r w:rsidRPr="00C00005">
        <w:rPr>
          <w:b/>
          <w:szCs w:val="24"/>
          <w:lang w:val="es-ES_tradnl"/>
        </w:rPr>
        <w:t xml:space="preserve"> DE LA MESA DIRECTIVA DEL</w:t>
      </w:r>
    </w:p>
    <w:p w:rsidR="00C00005" w:rsidRPr="00C00005" w:rsidRDefault="00C00005" w:rsidP="00871FDF">
      <w:pPr>
        <w:spacing w:after="0" w:line="240" w:lineRule="auto"/>
        <w:jc w:val="both"/>
        <w:rPr>
          <w:b/>
          <w:szCs w:val="24"/>
          <w:lang w:val="es-ES_tradnl"/>
        </w:rPr>
      </w:pPr>
      <w:r w:rsidRPr="00C00005">
        <w:rPr>
          <w:b/>
          <w:szCs w:val="24"/>
          <w:lang w:val="es-ES_tradnl"/>
        </w:rPr>
        <w:t>H. CONGRESO DE LA CIUDAD DE MÉXICO</w:t>
      </w:r>
    </w:p>
    <w:p w:rsidR="00C00005" w:rsidRPr="00C00005" w:rsidRDefault="00C00005" w:rsidP="00871FDF">
      <w:pPr>
        <w:spacing w:after="0" w:line="240" w:lineRule="auto"/>
        <w:jc w:val="both"/>
        <w:rPr>
          <w:szCs w:val="24"/>
          <w:lang w:val="es-ES_tradnl"/>
        </w:rPr>
      </w:pPr>
      <w:r w:rsidRPr="00C00005">
        <w:rPr>
          <w:b/>
          <w:szCs w:val="24"/>
          <w:lang w:val="es-ES_tradnl"/>
        </w:rPr>
        <w:t>P R E S E N T E</w:t>
      </w:r>
    </w:p>
    <w:p w:rsidR="00C00005" w:rsidRPr="00C00005" w:rsidRDefault="00C00005" w:rsidP="00871FDF">
      <w:pPr>
        <w:spacing w:after="0" w:line="240" w:lineRule="auto"/>
        <w:jc w:val="both"/>
        <w:rPr>
          <w:szCs w:val="24"/>
          <w:lang w:val="es-ES_tradnl"/>
        </w:rPr>
      </w:pPr>
    </w:p>
    <w:p w:rsidR="00C00005" w:rsidRPr="00A44A2B" w:rsidRDefault="00C00005" w:rsidP="00A30BA2">
      <w:pPr>
        <w:spacing w:before="240" w:after="240"/>
        <w:ind w:firstLine="708"/>
        <w:jc w:val="both"/>
        <w:rPr>
          <w:rFonts w:cs="Arial"/>
          <w:b/>
          <w:lang w:val="es-ES_tradnl"/>
        </w:rPr>
      </w:pPr>
      <w:r w:rsidRPr="00C00005">
        <w:rPr>
          <w:szCs w:val="24"/>
          <w:lang w:val="es-ES_tradnl"/>
        </w:rPr>
        <w:t xml:space="preserve">El que suscribe diputado </w:t>
      </w:r>
      <w:r w:rsidRPr="00C00005">
        <w:rPr>
          <w:b/>
          <w:szCs w:val="24"/>
          <w:lang w:val="es-ES_tradnl"/>
        </w:rPr>
        <w:t>CHRISTIAN DAMIÁN VON ROEHRICH DE LA ISLA</w:t>
      </w:r>
      <w:r w:rsidRPr="00C00005">
        <w:rPr>
          <w:bCs/>
          <w:szCs w:val="24"/>
          <w:lang w:val="es-ES_tradnl"/>
        </w:rPr>
        <w:t>,</w:t>
      </w:r>
      <w:r w:rsidRPr="00C00005">
        <w:rPr>
          <w:szCs w:val="24"/>
          <w:lang w:val="es-ES_tradnl"/>
        </w:rPr>
        <w:t xml:space="preserve"> integrante del Grupo Parlamentario del Partido Acción Nacional de la I Legislatura del Congreso de la Ciudad de México, con fundamento en lo dispuesto por el artículo 122, Apartado A, Fracción II de la Constitución Política de los Estados Unidos Mexicanos; 29, apartado A, numeral 1 y apartado D incisos a) y b) de la Constitución Política de la Ciudad de México; 1, 12 fracción I y 13 de la Ley Orgánica del Congreso de la Ciudad de México, así como el 1, 2 fracción XXI y 5 fracción I de su Reglamento someto a la consideración de este H. Congreso, la presente </w:t>
      </w:r>
      <w:r w:rsidRPr="00C00005">
        <w:rPr>
          <w:rFonts w:cs="Arial"/>
          <w:b/>
          <w:lang w:val="es-ES_tradnl"/>
        </w:rPr>
        <w:t xml:space="preserve">INICIATIVA CON PROYECTO DE DECRETO POR EL QUE SE </w:t>
      </w:r>
      <w:r w:rsidR="00A30BA2">
        <w:rPr>
          <w:rFonts w:cs="Arial"/>
          <w:b/>
          <w:lang w:val="es-ES_tradnl"/>
        </w:rPr>
        <w:t>REFORMAN LOS ARTÍCULOS 57 y 125 DE LA LEY DE PROCEDIMIENTO ADMINISTRATIVO DE LA CIUDAD DE MÉXICO</w:t>
      </w:r>
      <w:r w:rsidRPr="00C00005">
        <w:rPr>
          <w:b/>
          <w:szCs w:val="24"/>
          <w:lang w:val="es-ES_tradnl"/>
        </w:rPr>
        <w:t>,</w:t>
      </w:r>
      <w:r w:rsidRPr="00C00005">
        <w:rPr>
          <w:szCs w:val="24"/>
          <w:lang w:val="es-ES_tradnl"/>
        </w:rPr>
        <w:t xml:space="preserve"> al tenor de la siguiente:</w:t>
      </w:r>
    </w:p>
    <w:p w:rsidR="00C00005" w:rsidRPr="00C00005" w:rsidRDefault="00C00005" w:rsidP="00E53184">
      <w:pPr>
        <w:spacing w:before="240" w:after="240" w:line="276" w:lineRule="auto"/>
        <w:jc w:val="center"/>
        <w:rPr>
          <w:b/>
          <w:szCs w:val="24"/>
          <w:lang w:val="es-ES_tradnl"/>
        </w:rPr>
      </w:pPr>
      <w:r w:rsidRPr="00C00005">
        <w:rPr>
          <w:b/>
          <w:szCs w:val="24"/>
          <w:lang w:val="es-ES_tradnl"/>
        </w:rPr>
        <w:t>EXPOSICIÓN DE MOTIVOS</w:t>
      </w:r>
    </w:p>
    <w:p w:rsidR="00C00005" w:rsidRPr="00C00005" w:rsidRDefault="00C00005" w:rsidP="00871FDF">
      <w:pPr>
        <w:spacing w:after="0"/>
        <w:ind w:firstLine="360"/>
        <w:jc w:val="both"/>
        <w:rPr>
          <w:bCs/>
          <w:szCs w:val="24"/>
          <w:lang w:val="es-ES_tradnl"/>
        </w:rPr>
      </w:pPr>
      <w:r w:rsidRPr="00C00005">
        <w:rPr>
          <w:bCs/>
          <w:szCs w:val="24"/>
          <w:lang w:val="es-ES_tradnl"/>
        </w:rPr>
        <w:t>A efecto dar debido cumplimiento a lo expuesto en el artículo 96 del Reglamento del Congreso de la Ciudad de México, se exponen puntualmente los siguientes elementos:</w:t>
      </w:r>
    </w:p>
    <w:p w:rsidR="00C00005" w:rsidRPr="00C00005" w:rsidRDefault="00C00005" w:rsidP="00871FDF">
      <w:pPr>
        <w:spacing w:after="0"/>
        <w:ind w:firstLine="360"/>
        <w:jc w:val="both"/>
        <w:rPr>
          <w:bCs/>
          <w:szCs w:val="24"/>
          <w:lang w:val="es-ES_tradnl"/>
        </w:rPr>
      </w:pPr>
    </w:p>
    <w:p w:rsidR="00C00005" w:rsidRPr="00C00005" w:rsidRDefault="00C00005" w:rsidP="00871FDF">
      <w:pPr>
        <w:numPr>
          <w:ilvl w:val="0"/>
          <w:numId w:val="1"/>
        </w:numPr>
        <w:spacing w:after="0" w:line="240" w:lineRule="auto"/>
        <w:ind w:left="360"/>
        <w:jc w:val="both"/>
        <w:rPr>
          <w:b/>
          <w:szCs w:val="24"/>
          <w:lang w:val="es-ES_tradnl"/>
        </w:rPr>
      </w:pPr>
      <w:r w:rsidRPr="00C00005">
        <w:rPr>
          <w:b/>
          <w:szCs w:val="24"/>
          <w:lang w:val="es-ES_tradnl"/>
        </w:rPr>
        <w:t>Encabezado o título de la propuesta;</w:t>
      </w:r>
    </w:p>
    <w:p w:rsidR="00C00005" w:rsidRPr="00C00005" w:rsidRDefault="00C00005" w:rsidP="00871FDF">
      <w:pPr>
        <w:spacing w:after="0"/>
        <w:ind w:left="-142" w:firstLine="502"/>
        <w:jc w:val="both"/>
        <w:rPr>
          <w:bCs/>
          <w:szCs w:val="24"/>
          <w:lang w:val="es-ES_tradnl"/>
        </w:rPr>
      </w:pPr>
    </w:p>
    <w:p w:rsidR="00C00005" w:rsidRPr="00C00005" w:rsidRDefault="00C00005" w:rsidP="00871FDF">
      <w:pPr>
        <w:spacing w:after="0"/>
        <w:ind w:left="-142" w:firstLine="502"/>
        <w:jc w:val="both"/>
        <w:rPr>
          <w:bCs/>
          <w:szCs w:val="24"/>
          <w:lang w:val="es-ES_tradnl"/>
        </w:rPr>
      </w:pPr>
      <w:r w:rsidRPr="00C00005">
        <w:rPr>
          <w:bCs/>
          <w:szCs w:val="24"/>
          <w:lang w:val="es-ES_tradnl"/>
        </w:rPr>
        <w:t>Corresponde al expresado en el proemio del presente instrumento parlamentario.</w:t>
      </w:r>
    </w:p>
    <w:p w:rsidR="00C00005" w:rsidRDefault="00C00005" w:rsidP="00871FDF">
      <w:pPr>
        <w:spacing w:after="0"/>
        <w:ind w:left="-142" w:firstLine="502"/>
        <w:jc w:val="both"/>
        <w:rPr>
          <w:bCs/>
          <w:szCs w:val="24"/>
          <w:lang w:val="es-ES_tradnl"/>
        </w:rPr>
      </w:pPr>
    </w:p>
    <w:p w:rsidR="00A739B7" w:rsidRDefault="00A739B7" w:rsidP="00871FDF">
      <w:pPr>
        <w:spacing w:after="0"/>
        <w:ind w:left="-142" w:firstLine="502"/>
        <w:jc w:val="both"/>
        <w:rPr>
          <w:bCs/>
          <w:szCs w:val="24"/>
          <w:lang w:val="es-ES_tradnl"/>
        </w:rPr>
      </w:pPr>
    </w:p>
    <w:p w:rsidR="00A739B7" w:rsidRDefault="00A739B7" w:rsidP="00871FDF">
      <w:pPr>
        <w:spacing w:after="0"/>
        <w:ind w:left="-142" w:firstLine="502"/>
        <w:jc w:val="both"/>
        <w:rPr>
          <w:bCs/>
          <w:szCs w:val="24"/>
          <w:lang w:val="es-ES_tradnl"/>
        </w:rPr>
      </w:pPr>
    </w:p>
    <w:p w:rsidR="00A739B7" w:rsidRDefault="00A739B7" w:rsidP="00871FDF">
      <w:pPr>
        <w:spacing w:after="0"/>
        <w:ind w:left="-142" w:firstLine="502"/>
        <w:jc w:val="both"/>
        <w:rPr>
          <w:bCs/>
          <w:szCs w:val="24"/>
          <w:lang w:val="es-ES_tradnl"/>
        </w:rPr>
      </w:pPr>
    </w:p>
    <w:p w:rsidR="00A739B7" w:rsidRPr="00C00005" w:rsidRDefault="00A739B7" w:rsidP="00871FDF">
      <w:pPr>
        <w:spacing w:after="0"/>
        <w:ind w:left="-142" w:firstLine="502"/>
        <w:jc w:val="both"/>
        <w:rPr>
          <w:bCs/>
          <w:szCs w:val="24"/>
          <w:lang w:val="es-ES_tradnl"/>
        </w:rPr>
      </w:pPr>
    </w:p>
    <w:p w:rsidR="00C00005" w:rsidRPr="00440006" w:rsidRDefault="00C00005" w:rsidP="00871FDF">
      <w:pPr>
        <w:numPr>
          <w:ilvl w:val="0"/>
          <w:numId w:val="1"/>
        </w:numPr>
        <w:spacing w:after="0" w:line="240" w:lineRule="auto"/>
        <w:ind w:left="360"/>
        <w:jc w:val="both"/>
        <w:rPr>
          <w:b/>
          <w:szCs w:val="24"/>
          <w:lang w:val="es-ES_tradnl"/>
        </w:rPr>
      </w:pPr>
      <w:r w:rsidRPr="00C00005">
        <w:rPr>
          <w:b/>
          <w:szCs w:val="24"/>
          <w:lang w:val="es-ES_tradnl"/>
        </w:rPr>
        <w:lastRenderedPageBreak/>
        <w:t>Planteamiento del problema que la iniciativa pretenda resolver;</w:t>
      </w:r>
    </w:p>
    <w:p w:rsidR="00A30BA2" w:rsidRDefault="00A30BA2" w:rsidP="00BA3EDF">
      <w:pPr>
        <w:spacing w:after="0"/>
        <w:ind w:firstLine="360"/>
        <w:jc w:val="both"/>
        <w:rPr>
          <w:rFonts w:cs="Arial"/>
          <w:szCs w:val="24"/>
          <w:lang w:val="es-ES_tradnl"/>
        </w:rPr>
      </w:pPr>
    </w:p>
    <w:p w:rsidR="00A30BA2" w:rsidRDefault="004C2B92" w:rsidP="00BA3EDF">
      <w:pPr>
        <w:spacing w:after="0"/>
        <w:ind w:firstLine="360"/>
        <w:jc w:val="both"/>
        <w:rPr>
          <w:rFonts w:cs="Arial"/>
          <w:szCs w:val="24"/>
          <w:lang w:val="es-ES_tradnl"/>
        </w:rPr>
      </w:pPr>
      <w:r>
        <w:rPr>
          <w:rFonts w:cs="Arial"/>
          <w:szCs w:val="24"/>
          <w:lang w:val="es-ES_tradnl"/>
        </w:rPr>
        <w:t xml:space="preserve">La presente iniciativa, pretende establecer la obligación para las Autoridades Administrativas de la Ciudad de México que tengan la facultad de emitir una resolución administrativa que ponga fin a un procedimiento o resuelva un expediente, </w:t>
      </w:r>
      <w:r w:rsidR="006A3C68">
        <w:rPr>
          <w:rFonts w:cs="Arial"/>
          <w:szCs w:val="24"/>
          <w:lang w:val="es-ES_tradnl"/>
        </w:rPr>
        <w:t>dichas resoluciones</w:t>
      </w:r>
      <w:r>
        <w:rPr>
          <w:rFonts w:cs="Arial"/>
          <w:szCs w:val="24"/>
          <w:lang w:val="es-ES_tradnl"/>
        </w:rPr>
        <w:t xml:space="preserve"> sean formuladas bajo una perspectiva de género, lo anterior </w:t>
      </w:r>
      <w:r w:rsidR="006A3C68">
        <w:rPr>
          <w:rFonts w:cs="Arial"/>
          <w:szCs w:val="24"/>
          <w:lang w:val="es-ES_tradnl"/>
        </w:rPr>
        <w:t xml:space="preserve">con el objeto de </w:t>
      </w:r>
      <w:r>
        <w:rPr>
          <w:rFonts w:cs="Arial"/>
          <w:szCs w:val="24"/>
          <w:lang w:val="es-ES_tradnl"/>
        </w:rPr>
        <w:t xml:space="preserve">promover, respetar, </w:t>
      </w:r>
      <w:r w:rsidR="00060EE2">
        <w:rPr>
          <w:rFonts w:cs="Arial"/>
          <w:szCs w:val="24"/>
          <w:lang w:val="es-ES_tradnl"/>
        </w:rPr>
        <w:t>proteger y garantizar, bajo los principios de universalidad, interdependencia, indivisibilidad, y progresividad, consagrados en la Constitución Política de los Estados Unidos Mexicanos, la Constitución Política de la Ciudad de México, así como los diversos tratados internacionales suscritos por el Estado Mexicano</w:t>
      </w:r>
      <w:r w:rsidR="006A3C68">
        <w:rPr>
          <w:rFonts w:cs="Arial"/>
          <w:szCs w:val="24"/>
          <w:lang w:val="es-ES_tradnl"/>
        </w:rPr>
        <w:t>, los derechos humanos en materia de género e igualdad sustantiva</w:t>
      </w:r>
      <w:r w:rsidR="00060EE2">
        <w:rPr>
          <w:rFonts w:cs="Arial"/>
          <w:szCs w:val="24"/>
          <w:lang w:val="es-ES_tradnl"/>
        </w:rPr>
        <w:t xml:space="preserve">.   </w:t>
      </w:r>
      <w:r>
        <w:rPr>
          <w:rFonts w:cs="Arial"/>
          <w:szCs w:val="24"/>
          <w:lang w:val="es-ES_tradnl"/>
        </w:rPr>
        <w:t xml:space="preserve">   </w:t>
      </w:r>
    </w:p>
    <w:p w:rsidR="004C2B92" w:rsidRDefault="004C2B92" w:rsidP="00BA3EDF">
      <w:pPr>
        <w:spacing w:after="0"/>
        <w:ind w:firstLine="360"/>
        <w:jc w:val="both"/>
        <w:rPr>
          <w:rFonts w:cs="Arial"/>
          <w:szCs w:val="24"/>
          <w:lang w:val="es-ES_tradnl"/>
        </w:rPr>
      </w:pPr>
    </w:p>
    <w:p w:rsidR="004C2B92" w:rsidRDefault="00060EE2" w:rsidP="0062293C">
      <w:pPr>
        <w:spacing w:after="0"/>
        <w:ind w:firstLine="360"/>
        <w:jc w:val="both"/>
        <w:rPr>
          <w:rFonts w:cs="Arial"/>
          <w:bCs/>
          <w:szCs w:val="24"/>
          <w:lang w:val="es-ES_tradnl"/>
        </w:rPr>
      </w:pPr>
      <w:r>
        <w:rPr>
          <w:rFonts w:cs="Arial"/>
          <w:szCs w:val="24"/>
          <w:lang w:val="es-ES_tradnl"/>
        </w:rPr>
        <w:t xml:space="preserve">De esta forma, mediante la presentación de </w:t>
      </w:r>
      <w:r w:rsidR="006A3C68">
        <w:rPr>
          <w:rFonts w:cs="Arial"/>
          <w:szCs w:val="24"/>
          <w:lang w:val="es-ES_tradnl"/>
        </w:rPr>
        <w:t>esta propuesta,</w:t>
      </w:r>
      <w:r>
        <w:rPr>
          <w:rFonts w:cs="Arial"/>
          <w:szCs w:val="24"/>
          <w:lang w:val="es-ES_tradnl"/>
        </w:rPr>
        <w:t xml:space="preserve"> se busca combatir la discriminación como una forma de violencia </w:t>
      </w:r>
      <w:r w:rsidR="0062293C">
        <w:rPr>
          <w:rFonts w:cs="Arial"/>
          <w:szCs w:val="24"/>
          <w:lang w:val="es-ES_tradnl"/>
        </w:rPr>
        <w:t xml:space="preserve">hacia la mujer, pues mediante la suscripción de la </w:t>
      </w:r>
      <w:r w:rsidR="0062293C" w:rsidRPr="0062293C">
        <w:rPr>
          <w:rFonts w:cs="Arial"/>
          <w:bCs/>
          <w:szCs w:val="24"/>
          <w:lang w:val="es-ES_tradnl"/>
        </w:rPr>
        <w:t>Convención sobre la Eliminación de Todas las Formas de Discriminación Contra las Mujeres</w:t>
      </w:r>
      <w:r w:rsidR="0062293C">
        <w:rPr>
          <w:rFonts w:cs="Arial"/>
          <w:bCs/>
          <w:szCs w:val="24"/>
          <w:lang w:val="es-ES_tradnl"/>
        </w:rPr>
        <w:t xml:space="preserve"> </w:t>
      </w:r>
      <w:r w:rsidR="0062293C" w:rsidRPr="0062293C">
        <w:rPr>
          <w:rFonts w:cs="Arial"/>
          <w:bCs/>
          <w:szCs w:val="24"/>
        </w:rPr>
        <w:t>(CEDAW, por sus siglas en inglés)</w:t>
      </w:r>
      <w:r>
        <w:rPr>
          <w:rFonts w:cs="Arial"/>
          <w:szCs w:val="24"/>
          <w:lang w:val="es-ES_tradnl"/>
        </w:rPr>
        <w:t xml:space="preserve"> </w:t>
      </w:r>
      <w:r w:rsidR="0062293C">
        <w:rPr>
          <w:rFonts w:cs="Arial"/>
          <w:szCs w:val="24"/>
          <w:lang w:val="es-ES_tradnl"/>
        </w:rPr>
        <w:t xml:space="preserve">y la </w:t>
      </w:r>
      <w:r w:rsidR="0062293C" w:rsidRPr="0062293C">
        <w:rPr>
          <w:rFonts w:cs="Arial"/>
          <w:bCs/>
          <w:szCs w:val="24"/>
          <w:lang w:val="es-ES_tradnl"/>
        </w:rPr>
        <w:t>Convención Interamericana para Prevenir, Sancionar y Erradicar la Violencia Contra la Mujer (Convención de Belém Do Pará)</w:t>
      </w:r>
      <w:r w:rsidR="0062293C">
        <w:rPr>
          <w:rFonts w:cs="Arial"/>
          <w:bCs/>
          <w:szCs w:val="24"/>
          <w:lang w:val="es-ES_tradnl"/>
        </w:rPr>
        <w:t>, México se comprometió a adoptar por todos los medios y sin dilación alguna acciones para prevenir sancionar, y erradicar prácticas discriminatorias</w:t>
      </w:r>
      <w:r w:rsidR="00DE063D">
        <w:rPr>
          <w:rFonts w:cs="Arial"/>
          <w:bCs/>
          <w:szCs w:val="24"/>
          <w:lang w:val="es-ES_tradnl"/>
        </w:rPr>
        <w:t xml:space="preserve"> y garantizar así la igualdad entre hombres y mujeres</w:t>
      </w:r>
      <w:r w:rsidR="0062293C">
        <w:rPr>
          <w:rFonts w:cs="Arial"/>
          <w:bCs/>
          <w:szCs w:val="24"/>
          <w:lang w:val="es-ES_tradnl"/>
        </w:rPr>
        <w:t>.</w:t>
      </w:r>
    </w:p>
    <w:p w:rsidR="0062293C" w:rsidRDefault="0062293C" w:rsidP="0062293C">
      <w:pPr>
        <w:spacing w:after="0"/>
        <w:ind w:firstLine="360"/>
        <w:jc w:val="both"/>
        <w:rPr>
          <w:rFonts w:cs="Arial"/>
          <w:bCs/>
          <w:szCs w:val="24"/>
          <w:lang w:val="es-ES_tradnl"/>
        </w:rPr>
      </w:pPr>
    </w:p>
    <w:p w:rsidR="00DE063D" w:rsidRDefault="0062293C" w:rsidP="0062293C">
      <w:pPr>
        <w:spacing w:after="0"/>
        <w:ind w:firstLine="360"/>
        <w:jc w:val="both"/>
        <w:rPr>
          <w:rFonts w:cs="Arial"/>
          <w:bCs/>
          <w:szCs w:val="24"/>
          <w:lang w:val="es-ES_tradnl"/>
        </w:rPr>
      </w:pPr>
      <w:r>
        <w:rPr>
          <w:rFonts w:cs="Arial"/>
          <w:bCs/>
          <w:szCs w:val="24"/>
          <w:lang w:val="es-ES_tradnl"/>
        </w:rPr>
        <w:t xml:space="preserve">En este orden de ideas, </w:t>
      </w:r>
      <w:r w:rsidR="00DE063D">
        <w:rPr>
          <w:rFonts w:cs="Arial"/>
          <w:bCs/>
          <w:szCs w:val="24"/>
          <w:lang w:val="es-ES_tradnl"/>
        </w:rPr>
        <w:t>la igualdad puede entenderse como un principio que fundamenta y da sentido a todo el andamiaje jurídico y a los actos que derivan de este, ya sean</w:t>
      </w:r>
      <w:r>
        <w:rPr>
          <w:rFonts w:cs="Arial"/>
          <w:bCs/>
          <w:szCs w:val="24"/>
          <w:lang w:val="es-ES_tradnl"/>
        </w:rPr>
        <w:t xml:space="preserve"> </w:t>
      </w:r>
      <w:r w:rsidR="00DE063D">
        <w:rPr>
          <w:rFonts w:cs="Arial"/>
          <w:bCs/>
          <w:szCs w:val="24"/>
          <w:lang w:val="es-ES_tradnl"/>
        </w:rPr>
        <w:t>formal o materialmente administrativos o judiciales, lo que implica que el sentido de igualdad debe de utilizarse como guía hermenéutica en la elaboración, interpretación y aplicación del derecho.</w:t>
      </w:r>
    </w:p>
    <w:p w:rsidR="00DE063D" w:rsidRDefault="00DE063D" w:rsidP="0062293C">
      <w:pPr>
        <w:spacing w:after="0"/>
        <w:ind w:firstLine="360"/>
        <w:jc w:val="both"/>
        <w:rPr>
          <w:rFonts w:cs="Arial"/>
          <w:bCs/>
          <w:szCs w:val="24"/>
          <w:lang w:val="es-ES_tradnl"/>
        </w:rPr>
      </w:pPr>
    </w:p>
    <w:p w:rsidR="00DE063D" w:rsidRDefault="00DE063D" w:rsidP="00EF100E">
      <w:pPr>
        <w:spacing w:after="0"/>
        <w:ind w:firstLine="360"/>
        <w:jc w:val="both"/>
        <w:rPr>
          <w:rFonts w:cs="Arial"/>
          <w:bCs/>
          <w:szCs w:val="24"/>
          <w:lang w:val="es-ES_tradnl"/>
        </w:rPr>
      </w:pPr>
      <w:r>
        <w:rPr>
          <w:rFonts w:cs="Arial"/>
          <w:bCs/>
          <w:szCs w:val="24"/>
          <w:lang w:val="es-ES_tradnl"/>
        </w:rPr>
        <w:lastRenderedPageBreak/>
        <w:t>De igual forma, la igualdad constituye una herramienta subjetiva para acceder a la justicia, pues otorga titularidad a la personas para reclamar la realización efectiva del ejercicio de sus derechos, por lo que es necesario que el Estado diseñe e implemente medidas transformativas de los estereotipos que avalan y un trato discriminatorio.</w:t>
      </w:r>
    </w:p>
    <w:p w:rsidR="00EF100E" w:rsidRDefault="00EF100E" w:rsidP="00EF100E">
      <w:pPr>
        <w:spacing w:after="0"/>
        <w:ind w:firstLine="360"/>
        <w:jc w:val="both"/>
        <w:rPr>
          <w:rFonts w:cs="Arial"/>
          <w:bCs/>
          <w:szCs w:val="24"/>
          <w:lang w:val="es-ES_tradnl"/>
        </w:rPr>
      </w:pPr>
    </w:p>
    <w:p w:rsidR="001C0F91" w:rsidRPr="00E2010E" w:rsidRDefault="00EF100E" w:rsidP="00E2010E">
      <w:pPr>
        <w:spacing w:after="0"/>
        <w:ind w:firstLine="360"/>
        <w:jc w:val="both"/>
        <w:rPr>
          <w:rFonts w:cs="Arial"/>
          <w:bCs/>
          <w:szCs w:val="24"/>
          <w:lang w:val="es-ES_tradnl"/>
        </w:rPr>
      </w:pPr>
      <w:r>
        <w:rPr>
          <w:rFonts w:cs="Arial"/>
          <w:bCs/>
          <w:szCs w:val="24"/>
          <w:lang w:val="es-ES_tradnl"/>
        </w:rPr>
        <w:t xml:space="preserve">De esta manera, establecer en la Ley de Procedimiento Administrativo de la Ciudad de México que las Autoridades Administrativas emitan sus resoluciones con un enfoque de género garantizara el establecimiento de tratos diferenciados que puedan atender factores de hecho y estructurales que determinan a ciertas personas y grupos el acceso a sus derechos reconocidos formalmente.   </w:t>
      </w:r>
    </w:p>
    <w:p w:rsidR="00C00005" w:rsidRPr="00C00005" w:rsidRDefault="00C00005" w:rsidP="00871FDF">
      <w:pPr>
        <w:spacing w:after="0"/>
        <w:jc w:val="both"/>
        <w:rPr>
          <w:bCs/>
          <w:szCs w:val="24"/>
          <w:lang w:val="es-ES_tradnl"/>
        </w:rPr>
      </w:pPr>
    </w:p>
    <w:p w:rsidR="00C00005" w:rsidRPr="00C00005" w:rsidRDefault="00C00005" w:rsidP="00871FDF">
      <w:pPr>
        <w:numPr>
          <w:ilvl w:val="0"/>
          <w:numId w:val="1"/>
        </w:numPr>
        <w:spacing w:after="0" w:line="240" w:lineRule="auto"/>
        <w:ind w:left="360"/>
        <w:jc w:val="both"/>
        <w:rPr>
          <w:b/>
          <w:szCs w:val="24"/>
          <w:lang w:val="es-ES_tradnl"/>
        </w:rPr>
      </w:pPr>
      <w:r w:rsidRPr="00C00005">
        <w:rPr>
          <w:b/>
          <w:szCs w:val="24"/>
          <w:lang w:val="es-ES_tradnl"/>
        </w:rPr>
        <w:t>Problemática desde la perspectiva de género, en su caso;</w:t>
      </w:r>
    </w:p>
    <w:p w:rsidR="00C00005" w:rsidRPr="00C00005" w:rsidRDefault="00C00005" w:rsidP="00871FDF">
      <w:pPr>
        <w:spacing w:line="259" w:lineRule="auto"/>
        <w:jc w:val="both"/>
        <w:rPr>
          <w:rFonts w:cs="Arial"/>
          <w:bCs/>
          <w:szCs w:val="24"/>
          <w:lang w:val="es-ES_tradnl"/>
        </w:rPr>
      </w:pPr>
    </w:p>
    <w:p w:rsidR="00C00005" w:rsidRPr="00C00005" w:rsidRDefault="00E2010E" w:rsidP="00A739B7">
      <w:pPr>
        <w:spacing w:after="0"/>
        <w:ind w:firstLine="360"/>
        <w:jc w:val="both"/>
        <w:rPr>
          <w:rFonts w:cs="Arial"/>
          <w:bCs/>
          <w:szCs w:val="24"/>
          <w:lang w:val="es-ES_tradnl"/>
        </w:rPr>
      </w:pPr>
      <w:r>
        <w:rPr>
          <w:rFonts w:cs="Arial"/>
          <w:bCs/>
          <w:szCs w:val="24"/>
          <w:lang w:val="es-ES_tradnl"/>
        </w:rPr>
        <w:t>En la presente iniciativa,</w:t>
      </w:r>
      <w:r w:rsidR="00C00005" w:rsidRPr="00C00005">
        <w:rPr>
          <w:rFonts w:cs="Arial"/>
          <w:bCs/>
          <w:szCs w:val="24"/>
          <w:lang w:val="es-ES_tradnl"/>
        </w:rPr>
        <w:t xml:space="preserve"> se configura formalmente una problemática desde la perspectiva de género, esto se afirma una vez que fue aplicado por analogía de razón al presente instrumento parlamentario el Protocolo de la Suprema Corte de Justicia de la Nación para Juzgar con Perspectiva de Género</w:t>
      </w:r>
      <w:r w:rsidR="00C00005" w:rsidRPr="00C00005">
        <w:rPr>
          <w:rFonts w:cs="Arial"/>
          <w:bCs/>
          <w:szCs w:val="24"/>
          <w:vertAlign w:val="superscript"/>
          <w:lang w:val="es-ES_tradnl"/>
        </w:rPr>
        <w:footnoteReference w:id="1"/>
      </w:r>
      <w:r w:rsidR="00C00005" w:rsidRPr="00C00005">
        <w:rPr>
          <w:rFonts w:cs="Arial"/>
          <w:bCs/>
          <w:szCs w:val="24"/>
          <w:lang w:val="es-ES_tradnl"/>
        </w:rPr>
        <w:t>, ello en virtud de que</w:t>
      </w:r>
      <w:r>
        <w:rPr>
          <w:rFonts w:cs="Arial"/>
          <w:bCs/>
          <w:szCs w:val="24"/>
          <w:lang w:val="es-ES_tradnl"/>
        </w:rPr>
        <w:t xml:space="preserve"> en</w:t>
      </w:r>
      <w:r w:rsidR="00C00005" w:rsidRPr="00C00005">
        <w:rPr>
          <w:rFonts w:cs="Arial"/>
          <w:bCs/>
          <w:szCs w:val="24"/>
          <w:lang w:val="es-ES_tradnl"/>
        </w:rPr>
        <w:t xml:space="preserve"> el fondo de la misma</w:t>
      </w:r>
      <w:r>
        <w:rPr>
          <w:rFonts w:cs="Arial"/>
          <w:bCs/>
          <w:szCs w:val="24"/>
          <w:lang w:val="es-ES_tradnl"/>
        </w:rPr>
        <w:t xml:space="preserve"> se</w:t>
      </w:r>
      <w:r w:rsidR="00C00005" w:rsidRPr="00C00005">
        <w:rPr>
          <w:rFonts w:cs="Arial"/>
          <w:bCs/>
          <w:szCs w:val="24"/>
          <w:lang w:val="es-ES_tradnl"/>
        </w:rPr>
        <w:t xml:space="preserve"> </w:t>
      </w:r>
      <w:r w:rsidR="00F427B8">
        <w:rPr>
          <w:rFonts w:cs="Arial"/>
          <w:bCs/>
          <w:szCs w:val="24"/>
          <w:lang w:val="es-ES_tradnl"/>
        </w:rPr>
        <w:t>p</w:t>
      </w:r>
      <w:r w:rsidR="0012569D">
        <w:rPr>
          <w:rFonts w:cs="Arial"/>
          <w:bCs/>
          <w:szCs w:val="24"/>
          <w:lang w:val="es-ES_tradnl"/>
        </w:rPr>
        <w:t xml:space="preserve">retende </w:t>
      </w:r>
      <w:r w:rsidR="00F427B8">
        <w:rPr>
          <w:rFonts w:cs="Arial"/>
          <w:bCs/>
          <w:szCs w:val="24"/>
          <w:lang w:val="es-ES_tradnl"/>
        </w:rPr>
        <w:t>establecer la necesidad de</w:t>
      </w:r>
      <w:r>
        <w:rPr>
          <w:rFonts w:cs="Arial"/>
          <w:bCs/>
          <w:szCs w:val="24"/>
          <w:lang w:val="es-ES_tradnl"/>
        </w:rPr>
        <w:t xml:space="preserve"> que las Autoridades Administrativas que se encarguen de resolver un expediente, o poner fin a un procedimiento o recurso administrativo mediante una resolución, tengan en cuenta y analicen el asunto en concertó bajo una perspectiva de género que garantice </w:t>
      </w:r>
      <w:r w:rsidRPr="00E2010E">
        <w:rPr>
          <w:rFonts w:cs="Arial"/>
          <w:bCs/>
          <w:szCs w:val="24"/>
          <w:lang w:val="es-ES_tradnl"/>
        </w:rPr>
        <w:t>así la igualdad entre hombres y mujeres.</w:t>
      </w:r>
      <w:r>
        <w:rPr>
          <w:rFonts w:cs="Arial"/>
          <w:bCs/>
          <w:szCs w:val="24"/>
          <w:lang w:val="es-ES_tradnl"/>
        </w:rPr>
        <w:t xml:space="preserve">   </w:t>
      </w:r>
    </w:p>
    <w:p w:rsidR="00440006" w:rsidRPr="00C00005" w:rsidRDefault="00440006" w:rsidP="00871FDF">
      <w:pPr>
        <w:spacing w:after="0" w:line="240" w:lineRule="auto"/>
        <w:jc w:val="both"/>
        <w:rPr>
          <w:rFonts w:ascii="Times New Roman" w:eastAsia="Times New Roman" w:hAnsi="Times New Roman" w:cs="Times New Roman"/>
          <w:szCs w:val="24"/>
          <w:lang w:val="es-ES_tradnl"/>
        </w:rPr>
      </w:pPr>
    </w:p>
    <w:p w:rsidR="00C00005" w:rsidRPr="00C00005" w:rsidRDefault="00C00005" w:rsidP="00871FDF">
      <w:pPr>
        <w:numPr>
          <w:ilvl w:val="0"/>
          <w:numId w:val="1"/>
        </w:numPr>
        <w:spacing w:before="240" w:after="240" w:line="276" w:lineRule="auto"/>
        <w:ind w:left="360"/>
        <w:jc w:val="both"/>
        <w:rPr>
          <w:b/>
          <w:szCs w:val="24"/>
          <w:lang w:val="es-ES_tradnl"/>
        </w:rPr>
      </w:pPr>
      <w:r w:rsidRPr="00C00005">
        <w:rPr>
          <w:b/>
          <w:szCs w:val="24"/>
          <w:lang w:val="es-ES_tradnl"/>
        </w:rPr>
        <w:t>Argumentos que la sustenten;</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 xml:space="preserve">El 10 de junio de 2011, se dio una de las reformas más importantes en la Constitución Política de los Estados Unidos Mexicanos, en materia de derechos </w:t>
      </w:r>
      <w:r w:rsidRPr="001C0F91">
        <w:rPr>
          <w:rFonts w:eastAsia="Times New Roman" w:cs="Arial"/>
          <w:bCs/>
          <w:szCs w:val="24"/>
          <w:lang w:val="es-ES_tradnl" w:eastAsia="es-ES_tradnl"/>
        </w:rPr>
        <w:lastRenderedPageBreak/>
        <w:t>humanos ya que esta modificación se encargó de poner a la persona y sus derechos como eje central en la impartición de justicia.</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 xml:space="preserve">En este orden de ideas tanto las instituciones de impartición de justicia como las autoridades administrativas en México tienen la obligación de garantizar el ejercicio pleno y sin discriminación de los derechos y libertades fundamentales y hacer efectivo el principio de igualdad, tal como lo estipulan los artículos primero y cuarto constitucionales. Asimismo, está en su deber incorporar los tratados internacionales ratificados por el Estado Mexicano, en su labor jurisdiccional, de acuerdo con la jerarquía normativa asignada por el artículo 133 constitucional. </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 xml:space="preserve">   </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La introducción de la perspectiva de género en el análisis jurídico pretende combatir argumentos estereotipados e indiferentes al derecho a la igualdad. Las reivindicaciones por descentralizar y equilibrar el ejercicio de poder han logrado que existan criterios que empoderan a las victimas al reconocerles sus derechos y repararles las violaciones a los mismos.</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 xml:space="preserve">Al respecto, la Convención Interamericana para Prevenir, Sancionar y Erradicar la Violencia Contra la Mujer (Convención de Belém Do Pará) obliga a las instituciones gubernamentales, a adoptar, entre otras, políticas orientadas a prevenir, sancionar y erradicar la violencia contra las mujeres.  </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 xml:space="preserve">De igual forma, el Estado Mexicano, al firmar y ratificar la Convención sobre la Eliminación de Todas las Formas de Discriminación Contra las Mujeres (CEDAW, por sus siglas en inglés), se obligó a eliminar las diferencias arbitrarias, injustas o desproporcionadas entre mujeres y hombres en razón de su sexo o género, tanto en el acceso a la justicia como en los procesos y las resoluciones judiciales. </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 xml:space="preserve">En su artículo 2, inciso c), la CEDAW obliga a los tribunales nacionales a: “c) </w:t>
      </w:r>
      <w:r w:rsidRPr="001C0F91">
        <w:rPr>
          <w:rFonts w:eastAsia="Times New Roman" w:cs="Arial"/>
          <w:bCs/>
          <w:szCs w:val="24"/>
          <w:lang w:val="es-ES_tradnl" w:eastAsia="es-ES_tradnl"/>
        </w:rPr>
        <w:lastRenderedPageBreak/>
        <w:t xml:space="preserve">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En este sentido, si bien es cierto que las autoridades administrativas en la Ciudad de México no constituyen ningún tipo de Tribunal ni forman parte del Poder Judicial, también lo es que, tanto la Ley de Procedimiento Administrativo de la Ciudad de México como diversas disposiciones en materia administrativa otorgan a estas autoridades la facultad de conocer procedimientos seguidos en forma de juicio que generan consecuencias de derecho en la esfera jurídica de los ciudadanos, es decir emiten actos formalmente administrativos y materialmente jurisdiccionales.</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En este orden de ideas</w:t>
      </w:r>
      <w:r w:rsidR="006A3C68">
        <w:rPr>
          <w:rFonts w:eastAsia="Times New Roman" w:cs="Arial"/>
          <w:bCs/>
          <w:szCs w:val="24"/>
          <w:lang w:val="es-ES_tradnl" w:eastAsia="es-ES_tradnl"/>
        </w:rPr>
        <w:t>,</w:t>
      </w:r>
      <w:r w:rsidRPr="001C0F91">
        <w:rPr>
          <w:rFonts w:eastAsia="Times New Roman" w:cs="Arial"/>
          <w:bCs/>
          <w:szCs w:val="24"/>
          <w:lang w:val="es-ES_tradnl" w:eastAsia="es-ES_tradnl"/>
        </w:rPr>
        <w:t xml:space="preserve"> se puede afirmar que las autoridades administrativas al emitir resoluciones administrativas que pudieran ser equiparadas a una sentencia emitida por  el Poder Judicial, resulta necesario que estas sean emitidas con un enfoque de género pues desde esta perspectiva, el papel de quien aplica el derecho es fundamental y de gran responsabilidad social, puesto que las normas contienen siempre un margen de interpretación y, por tanto, las resoluciones judiciales participan en el proyecto democrático de la eliminación de la desigualdad y la discriminación</w:t>
      </w:r>
    </w:p>
    <w:p w:rsidR="001C0F91" w:rsidRPr="001C0F91" w:rsidRDefault="001C0F91" w:rsidP="00DC5899">
      <w:pPr>
        <w:widowControl w:val="0"/>
        <w:autoSpaceDE w:val="0"/>
        <w:autoSpaceDN w:val="0"/>
        <w:spacing w:before="1" w:after="0"/>
        <w:jc w:val="both"/>
        <w:rPr>
          <w:rFonts w:eastAsia="Times New Roman" w:cs="Arial"/>
          <w:bCs/>
          <w:szCs w:val="24"/>
          <w:lang w:val="es-ES_tradnl" w:eastAsia="es-ES_tradnl"/>
        </w:rPr>
      </w:pPr>
    </w:p>
    <w:p w:rsidR="00DC5899"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t xml:space="preserve">Es importante señalar que la emisión de resoluciones en materia administrativa tomando en cuenta la perspectiva de género en las labores, no implica de manera alguna la preferencia incondicional hacia alguno de los sexos, ni compromete la imparcialidad que pudieran tener las autoridades administrativas al momento de resolver un expediente </w:t>
      </w:r>
      <w:r w:rsidR="00DC5899">
        <w:rPr>
          <w:rFonts w:eastAsia="Times New Roman" w:cs="Arial"/>
          <w:bCs/>
          <w:szCs w:val="24"/>
          <w:lang w:val="es-ES_tradnl" w:eastAsia="es-ES_tradnl"/>
        </w:rPr>
        <w:t>o poner fin a un procedimiento.</w:t>
      </w:r>
    </w:p>
    <w:p w:rsidR="00DC5899" w:rsidRDefault="00DC5899" w:rsidP="00DC5899">
      <w:pPr>
        <w:widowControl w:val="0"/>
        <w:autoSpaceDE w:val="0"/>
        <w:autoSpaceDN w:val="0"/>
        <w:spacing w:before="1" w:after="0"/>
        <w:jc w:val="both"/>
        <w:rPr>
          <w:rFonts w:eastAsia="Times New Roman" w:cs="Arial"/>
          <w:bCs/>
          <w:szCs w:val="24"/>
          <w:lang w:val="es-ES_tradnl" w:eastAsia="es-ES_tradnl"/>
        </w:rPr>
      </w:pPr>
    </w:p>
    <w:p w:rsidR="0090746C" w:rsidRPr="00DC5899" w:rsidRDefault="001C0F91" w:rsidP="00DC5899">
      <w:pPr>
        <w:widowControl w:val="0"/>
        <w:autoSpaceDE w:val="0"/>
        <w:autoSpaceDN w:val="0"/>
        <w:spacing w:before="1" w:after="0"/>
        <w:jc w:val="both"/>
        <w:rPr>
          <w:rFonts w:eastAsia="Times New Roman" w:cs="Arial"/>
          <w:bCs/>
          <w:szCs w:val="24"/>
          <w:lang w:val="es-ES_tradnl" w:eastAsia="es-ES_tradnl"/>
        </w:rPr>
      </w:pPr>
      <w:r w:rsidRPr="001C0F91">
        <w:rPr>
          <w:rFonts w:eastAsia="Times New Roman" w:cs="Arial"/>
          <w:bCs/>
          <w:szCs w:val="24"/>
          <w:lang w:val="es-ES_tradnl" w:eastAsia="es-ES_tradnl"/>
        </w:rPr>
        <w:lastRenderedPageBreak/>
        <w:t>Ante tales circunstancias</w:t>
      </w:r>
      <w:r w:rsidR="00DC5899">
        <w:rPr>
          <w:rFonts w:eastAsia="Times New Roman" w:cs="Arial"/>
          <w:bCs/>
          <w:szCs w:val="24"/>
          <w:lang w:val="es-ES_tradnl" w:eastAsia="es-ES_tradnl"/>
        </w:rPr>
        <w:t>, resulta inconcuso que es menester establecer en la Ley de Procedimiento Administrativo de la Ciudad de México</w:t>
      </w:r>
      <w:r w:rsidR="004E7F61">
        <w:rPr>
          <w:rFonts w:eastAsia="Times New Roman" w:cs="Arial"/>
          <w:bCs/>
          <w:szCs w:val="24"/>
          <w:lang w:val="es-ES_tradnl" w:eastAsia="es-ES_tradnl"/>
        </w:rPr>
        <w:t>,</w:t>
      </w:r>
      <w:r w:rsidR="00DC5899">
        <w:rPr>
          <w:rFonts w:eastAsia="Times New Roman" w:cs="Arial"/>
          <w:bCs/>
          <w:szCs w:val="24"/>
          <w:lang w:val="es-ES_tradnl" w:eastAsia="es-ES_tradnl"/>
        </w:rPr>
        <w:t xml:space="preserve"> la obligación para las Autoridades Administrativas de tomar en cuenta la perspectiva de género al momento de la emisión de las resoluciones que estas emitan, esto para garantizar el derecho a la igualdad y la no discriminación en los tramites y procedimientos sometidos a la jurisdicción y competencia de estas.   </w:t>
      </w:r>
    </w:p>
    <w:p w:rsidR="00C00005" w:rsidRPr="00C00005" w:rsidRDefault="00C00005" w:rsidP="00871FDF">
      <w:pPr>
        <w:numPr>
          <w:ilvl w:val="0"/>
          <w:numId w:val="1"/>
        </w:numPr>
        <w:spacing w:before="240" w:after="240" w:line="276" w:lineRule="auto"/>
        <w:ind w:left="360"/>
        <w:jc w:val="both"/>
        <w:rPr>
          <w:b/>
          <w:szCs w:val="24"/>
          <w:lang w:val="es-ES_tradnl"/>
        </w:rPr>
      </w:pPr>
      <w:r w:rsidRPr="00C00005">
        <w:rPr>
          <w:b/>
          <w:szCs w:val="24"/>
          <w:lang w:val="es-ES_tradnl"/>
        </w:rPr>
        <w:t>Fundamento legal y en su caso sobre su constitucionalidad y convencionalidad;</w:t>
      </w:r>
    </w:p>
    <w:p w:rsidR="00C00005" w:rsidRPr="00C00005" w:rsidRDefault="00C00005" w:rsidP="00871FDF">
      <w:pPr>
        <w:spacing w:before="120" w:after="120"/>
        <w:ind w:left="720"/>
        <w:contextualSpacing/>
        <w:jc w:val="both"/>
        <w:rPr>
          <w:rFonts w:eastAsia="Times New Roman" w:cs="Arial"/>
          <w:b/>
          <w:bCs/>
          <w:szCs w:val="24"/>
          <w:lang w:val="es-ES_tradnl"/>
        </w:rPr>
      </w:pPr>
      <w:r w:rsidRPr="00C00005">
        <w:rPr>
          <w:rFonts w:eastAsia="Times New Roman" w:cs="Arial"/>
          <w:b/>
          <w:bCs/>
          <w:szCs w:val="24"/>
          <w:lang w:val="es-ES_tradnl"/>
        </w:rPr>
        <w:t xml:space="preserve">PRIMERO. - </w:t>
      </w:r>
      <w:r w:rsidRPr="00C00005">
        <w:rPr>
          <w:rFonts w:eastAsia="Times New Roman" w:cs="Arial"/>
          <w:bCs/>
          <w:szCs w:val="24"/>
          <w:lang w:val="es-ES_tradnl"/>
        </w:rPr>
        <w:t>Que el artículo 122, apartado A fracción II de la Constitución Política de los Estados Unidos Mexicanos</w:t>
      </w:r>
      <w:r w:rsidRPr="00C00005">
        <w:rPr>
          <w:rFonts w:eastAsia="Times New Roman" w:cs="Arial"/>
          <w:bCs/>
          <w:szCs w:val="24"/>
          <w:vertAlign w:val="superscript"/>
          <w:lang w:val="es-ES_tradnl"/>
        </w:rPr>
        <w:footnoteReference w:id="2"/>
      </w:r>
      <w:r w:rsidRPr="00C00005">
        <w:rPr>
          <w:rFonts w:eastAsia="Times New Roman" w:cs="Arial"/>
          <w:bCs/>
          <w:szCs w:val="24"/>
          <w:lang w:val="es-ES_tradnl"/>
        </w:rPr>
        <w:t xml:space="preserve"> establece que</w:t>
      </w:r>
      <w:r w:rsidRPr="00C00005">
        <w:rPr>
          <w:rFonts w:eastAsia="Times New Roman" w:cs="Arial"/>
          <w:b/>
          <w:bCs/>
          <w:szCs w:val="24"/>
          <w:lang w:val="es-ES_tradnl"/>
        </w:rPr>
        <w:t>:</w:t>
      </w:r>
    </w:p>
    <w:p w:rsidR="00C00005" w:rsidRPr="00C00005" w:rsidRDefault="00C00005" w:rsidP="00871FDF">
      <w:pPr>
        <w:spacing w:before="120" w:after="120" w:line="240" w:lineRule="auto"/>
        <w:ind w:left="720"/>
        <w:contextualSpacing/>
        <w:jc w:val="both"/>
        <w:rPr>
          <w:rFonts w:eastAsia="Times New Roman" w:cs="Arial"/>
          <w:b/>
          <w:bCs/>
          <w:szCs w:val="24"/>
          <w:lang w:val="es-ES_tradnl"/>
        </w:rPr>
      </w:pPr>
    </w:p>
    <w:p w:rsidR="00C00005" w:rsidRPr="00C00005" w:rsidRDefault="00C00005" w:rsidP="00871FDF">
      <w:pPr>
        <w:spacing w:before="120" w:after="120" w:line="240" w:lineRule="auto"/>
        <w:ind w:left="1560" w:right="804"/>
        <w:contextualSpacing/>
        <w:jc w:val="both"/>
        <w:rPr>
          <w:rFonts w:eastAsia="Times New Roman" w:cs="Arial"/>
          <w:bCs/>
          <w:i/>
          <w:szCs w:val="24"/>
          <w:lang w:val="es-ES_tradnl"/>
        </w:rPr>
      </w:pPr>
      <w:r w:rsidRPr="00C00005">
        <w:rPr>
          <w:rFonts w:eastAsia="Times New Roman" w:cs="Arial"/>
          <w:bCs/>
          <w:i/>
          <w:szCs w:val="24"/>
          <w:lang w:val="es-ES_tradnl"/>
        </w:rPr>
        <w:t>“II. El ejercicio del Poder Legislativo se deposita en la Legislatura de la Ciudad de México, la cual se integrará en los términos que establezca la Constitución Política de la entidad”.</w:t>
      </w:r>
    </w:p>
    <w:p w:rsidR="00C00005" w:rsidRPr="00C00005" w:rsidRDefault="00C00005" w:rsidP="00871FDF">
      <w:pPr>
        <w:spacing w:after="0" w:line="240" w:lineRule="auto"/>
        <w:ind w:left="720"/>
        <w:contextualSpacing/>
        <w:jc w:val="both"/>
        <w:rPr>
          <w:rFonts w:ascii="Times New Roman" w:eastAsia="Times New Roman" w:hAnsi="Times New Roman" w:cs="Times New Roman"/>
          <w:szCs w:val="24"/>
          <w:lang w:val="es-ES_tradnl" w:eastAsia="es-ES_tradnl"/>
        </w:rPr>
      </w:pPr>
    </w:p>
    <w:p w:rsidR="00C00005" w:rsidRPr="00C00005" w:rsidRDefault="00C00005" w:rsidP="00871FDF">
      <w:pPr>
        <w:spacing w:before="120" w:after="120"/>
        <w:ind w:left="720"/>
        <w:contextualSpacing/>
        <w:jc w:val="both"/>
        <w:rPr>
          <w:rFonts w:eastAsia="Times New Roman" w:cs="Arial"/>
          <w:bCs/>
          <w:szCs w:val="24"/>
          <w:lang w:val="es-ES_tradnl"/>
        </w:rPr>
      </w:pPr>
      <w:r w:rsidRPr="00C00005">
        <w:rPr>
          <w:rFonts w:eastAsia="Times New Roman" w:cs="Arial"/>
          <w:bCs/>
          <w:szCs w:val="24"/>
          <w:lang w:val="es-ES_tradnl"/>
        </w:rPr>
        <w:t>En tanto que la Constitución Política de la Ciudad de México deposita el poder legislativo en el Congreso de la Ciudad de México</w:t>
      </w:r>
      <w:r w:rsidRPr="00C00005">
        <w:rPr>
          <w:rFonts w:eastAsia="Times New Roman" w:cs="Arial"/>
          <w:bCs/>
          <w:szCs w:val="24"/>
          <w:vertAlign w:val="superscript"/>
          <w:lang w:val="es-ES_tradnl"/>
        </w:rPr>
        <w:footnoteReference w:id="3"/>
      </w:r>
      <w:r w:rsidRPr="00C00005">
        <w:rPr>
          <w:rFonts w:eastAsia="Times New Roman" w:cs="Arial"/>
          <w:bCs/>
          <w:szCs w:val="24"/>
          <w:lang w:val="es-ES_tradnl"/>
        </w:rPr>
        <w:t>, integrado por 66 diputaciones, y que, de conformidad con</w:t>
      </w:r>
      <w:r w:rsidRPr="00C00005">
        <w:rPr>
          <w:rFonts w:eastAsia="Times New Roman" w:cs="Arial"/>
          <w:bCs/>
          <w:szCs w:val="24"/>
          <w:shd w:val="clear" w:color="auto" w:fill="FFFFFF"/>
          <w:lang w:val="es-ES_tradnl"/>
        </w:rPr>
        <w:t xml:space="preserve"> </w:t>
      </w:r>
      <w:r w:rsidRPr="00C00005">
        <w:rPr>
          <w:rFonts w:eastAsia="Times New Roman" w:cs="Arial"/>
          <w:bCs/>
          <w:szCs w:val="24"/>
          <w:lang w:val="es-ES_tradnl"/>
        </w:rPr>
        <w:t xml:space="preserve">el inciso a) del apartado D del artículo 29, faculta a este cuerpo Colegiado Parlamentario para: </w:t>
      </w:r>
    </w:p>
    <w:p w:rsidR="00C00005" w:rsidRPr="00C00005" w:rsidRDefault="00C00005" w:rsidP="00871FDF">
      <w:pPr>
        <w:spacing w:before="120" w:after="120"/>
        <w:ind w:left="720"/>
        <w:contextualSpacing/>
        <w:jc w:val="both"/>
        <w:rPr>
          <w:rFonts w:eastAsia="Times New Roman" w:cs="Arial"/>
          <w:bCs/>
          <w:szCs w:val="24"/>
          <w:lang w:val="es-ES_tradnl"/>
        </w:rPr>
      </w:pPr>
    </w:p>
    <w:p w:rsidR="00C00005" w:rsidRPr="00C00005" w:rsidRDefault="00C00005" w:rsidP="00871FDF">
      <w:pPr>
        <w:spacing w:before="120" w:after="120"/>
        <w:ind w:left="1560" w:right="851"/>
        <w:contextualSpacing/>
        <w:jc w:val="both"/>
        <w:rPr>
          <w:rFonts w:eastAsia="Times New Roman" w:cs="Arial"/>
          <w:bCs/>
          <w:i/>
          <w:szCs w:val="24"/>
          <w:lang w:val="es-ES_tradnl"/>
        </w:rPr>
      </w:pPr>
      <w:r w:rsidRPr="00C00005">
        <w:rPr>
          <w:rFonts w:eastAsia="Times New Roman" w:cs="Arial"/>
          <w:bCs/>
          <w:i/>
          <w:szCs w:val="24"/>
          <w:lang w:val="es-ES_tradnl"/>
        </w:rPr>
        <w:t xml:space="preserve">“a) Expedir y reformar las leyes aplicables a la Ciudad de México en las materias conferidas al ámbito local, por la Constitución Política de los Estados Unidos Mexicanos en las que se ejerzan facultades concurrentes, coincidentes o de coordinación con los poderes federales y las que no estén reservadas a la Federación, así como las que deriven </w:t>
      </w:r>
      <w:r w:rsidRPr="00C00005">
        <w:rPr>
          <w:rFonts w:eastAsia="Times New Roman" w:cs="Arial"/>
          <w:bCs/>
          <w:i/>
          <w:szCs w:val="24"/>
          <w:lang w:val="es-ES_tradnl"/>
        </w:rPr>
        <w:lastRenderedPageBreak/>
        <w:t xml:space="preserve">del cumplimiento de los tratados internacionales en materia de derechos humanos y todas aquellas que sean necesarias, a objeto de hacer efectivas las facultades concedidas a las autoridades de la Ciudad;” </w:t>
      </w:r>
    </w:p>
    <w:p w:rsidR="00C00005" w:rsidRPr="00C00005" w:rsidRDefault="00C00005" w:rsidP="00871FDF">
      <w:pPr>
        <w:spacing w:after="0"/>
        <w:ind w:left="708"/>
        <w:jc w:val="both"/>
        <w:rPr>
          <w:rFonts w:eastAsia="Times New Roman" w:cs="Arial"/>
          <w:b/>
          <w:bCs/>
          <w:szCs w:val="24"/>
          <w:lang w:val="es-ES_tradnl"/>
        </w:rPr>
      </w:pPr>
    </w:p>
    <w:p w:rsidR="00C00005" w:rsidRPr="00C00005" w:rsidRDefault="00C00005" w:rsidP="00871FDF">
      <w:pPr>
        <w:spacing w:after="0"/>
        <w:ind w:left="708"/>
        <w:jc w:val="both"/>
        <w:rPr>
          <w:rFonts w:eastAsia="Times New Roman" w:cs="Arial"/>
          <w:bCs/>
          <w:szCs w:val="24"/>
          <w:lang w:val="es-ES_tradnl"/>
        </w:rPr>
      </w:pPr>
      <w:r w:rsidRPr="00C00005">
        <w:rPr>
          <w:rFonts w:eastAsia="Times New Roman" w:cs="Arial"/>
          <w:b/>
          <w:bCs/>
          <w:szCs w:val="24"/>
          <w:lang w:val="es-ES_tradnl"/>
        </w:rPr>
        <w:t xml:space="preserve">SEGUNDO. - </w:t>
      </w:r>
      <w:r w:rsidRPr="00C00005">
        <w:rPr>
          <w:rFonts w:eastAsia="Times New Roman" w:cs="Arial"/>
          <w:bCs/>
          <w:szCs w:val="24"/>
          <w:lang w:val="es-ES_tradnl"/>
        </w:rPr>
        <w:t xml:space="preserve">Que con fundamento en el artículo 12 fracción II de la Ley Orgánica del Congreso de la Ciudad de México, las y los Diputados del Congreso están facultados para </w:t>
      </w:r>
      <w:r w:rsidRPr="00C00005">
        <w:rPr>
          <w:rFonts w:eastAsia="Times New Roman" w:cs="Arial"/>
          <w:b/>
          <w:bCs/>
          <w:szCs w:val="24"/>
          <w:lang w:val="es-ES_tradnl"/>
        </w:rPr>
        <w:t>iniciar leyes o decretos</w:t>
      </w:r>
      <w:r w:rsidRPr="00C00005">
        <w:rPr>
          <w:rFonts w:eastAsia="Times New Roman" w:cs="Arial"/>
          <w:bCs/>
          <w:szCs w:val="24"/>
          <w:lang w:val="es-ES_tradnl"/>
        </w:rPr>
        <w:t xml:space="preserve">, en tanto que el numeral 5 fracción I de su Reglamento indica que </w:t>
      </w:r>
      <w:r w:rsidRPr="00C00005">
        <w:rPr>
          <w:rFonts w:eastAsia="Times New Roman" w:cs="Arial"/>
          <w:bCs/>
          <w:i/>
          <w:szCs w:val="24"/>
          <w:lang w:val="es-ES_tradnl"/>
        </w:rPr>
        <w:t>“iniciar leyes, decretos y presentar proposiciones y denuncias ante el Congreso”</w:t>
      </w:r>
      <w:r w:rsidRPr="00C00005">
        <w:rPr>
          <w:rFonts w:eastAsia="Times New Roman" w:cs="Arial"/>
          <w:bCs/>
          <w:szCs w:val="24"/>
          <w:lang w:val="es-ES_tradnl"/>
        </w:rPr>
        <w:t xml:space="preserve">. </w:t>
      </w:r>
    </w:p>
    <w:p w:rsidR="00C00005" w:rsidRPr="00C00005" w:rsidRDefault="00C00005" w:rsidP="00871FDF">
      <w:pPr>
        <w:spacing w:before="120" w:after="120" w:line="240" w:lineRule="auto"/>
        <w:ind w:left="720"/>
        <w:contextualSpacing/>
        <w:jc w:val="both"/>
        <w:rPr>
          <w:rFonts w:eastAsia="Times New Roman" w:cs="Arial"/>
          <w:bCs/>
          <w:szCs w:val="24"/>
          <w:lang w:val="es-ES_tradnl"/>
        </w:rPr>
      </w:pPr>
    </w:p>
    <w:p w:rsidR="007E1C6D" w:rsidRDefault="00571B73" w:rsidP="007E1C6D">
      <w:pPr>
        <w:spacing w:after="0"/>
        <w:ind w:left="709"/>
        <w:contextualSpacing/>
        <w:jc w:val="both"/>
        <w:rPr>
          <w:rFonts w:eastAsia="Times New Roman" w:cs="Arial"/>
          <w:bCs/>
          <w:szCs w:val="24"/>
        </w:rPr>
      </w:pPr>
      <w:r>
        <w:rPr>
          <w:rFonts w:eastAsia="Times New Roman" w:cs="Arial"/>
          <w:b/>
          <w:bCs/>
          <w:szCs w:val="24"/>
          <w:lang w:val="es-ES_tradnl"/>
        </w:rPr>
        <w:t xml:space="preserve">TERCERO. </w:t>
      </w:r>
      <w:r w:rsidR="00281FD9">
        <w:rPr>
          <w:rFonts w:eastAsia="Times New Roman" w:cs="Arial"/>
          <w:b/>
          <w:bCs/>
          <w:szCs w:val="24"/>
          <w:lang w:val="es-ES_tradnl"/>
        </w:rPr>
        <w:t xml:space="preserve">– </w:t>
      </w:r>
      <w:r w:rsidR="00281FD9" w:rsidRPr="00281FD9">
        <w:rPr>
          <w:rFonts w:eastAsia="Times New Roman" w:cs="Arial"/>
          <w:bCs/>
          <w:szCs w:val="24"/>
          <w:lang w:val="es-ES_tradnl"/>
        </w:rPr>
        <w:t>Que resultan aplicables por cuanto al fond</w:t>
      </w:r>
      <w:r w:rsidR="007E1C6D">
        <w:rPr>
          <w:rFonts w:eastAsia="Times New Roman" w:cs="Arial"/>
          <w:bCs/>
          <w:szCs w:val="24"/>
          <w:lang w:val="es-ES_tradnl"/>
        </w:rPr>
        <w:t xml:space="preserve">o de la presente iniciativa </w:t>
      </w:r>
      <w:r w:rsidR="00440006" w:rsidRPr="00440006">
        <w:rPr>
          <w:rFonts w:eastAsia="Times New Roman" w:cs="Arial"/>
          <w:bCs/>
          <w:szCs w:val="24"/>
          <w:lang w:val="es-ES_tradnl"/>
        </w:rPr>
        <w:t xml:space="preserve">la Convención sobre la Eliminación de Todas las Formas de Discriminación Contra las Mujeres </w:t>
      </w:r>
      <w:r w:rsidR="00440006" w:rsidRPr="00440006">
        <w:rPr>
          <w:rFonts w:eastAsia="Times New Roman" w:cs="Arial"/>
          <w:bCs/>
          <w:szCs w:val="24"/>
        </w:rPr>
        <w:t>(CEDAW, por sus siglas en inglés)</w:t>
      </w:r>
      <w:r w:rsidR="00440006" w:rsidRPr="00440006">
        <w:rPr>
          <w:rFonts w:eastAsia="Times New Roman" w:cs="Arial"/>
          <w:bCs/>
          <w:szCs w:val="24"/>
          <w:lang w:val="es-ES_tradnl"/>
        </w:rPr>
        <w:t xml:space="preserve"> y la Convención Interamericana para Prevenir, Sancionar y Erradicar la Violencia Contra la Mujer (Convención de Belém Do Pará)</w:t>
      </w:r>
      <w:r w:rsidR="00440006">
        <w:rPr>
          <w:rFonts w:eastAsia="Times New Roman" w:cs="Arial"/>
          <w:bCs/>
          <w:szCs w:val="24"/>
          <w:lang w:val="es-ES_tradnl"/>
        </w:rPr>
        <w:t xml:space="preserve"> </w:t>
      </w:r>
    </w:p>
    <w:p w:rsidR="00281FD9" w:rsidRDefault="00281FD9" w:rsidP="007E1C6D">
      <w:pPr>
        <w:spacing w:after="0"/>
        <w:contextualSpacing/>
        <w:jc w:val="both"/>
        <w:rPr>
          <w:rFonts w:eastAsia="Times New Roman" w:cs="Arial"/>
          <w:b/>
          <w:bCs/>
          <w:szCs w:val="24"/>
          <w:lang w:val="es-ES_tradnl"/>
        </w:rPr>
      </w:pPr>
    </w:p>
    <w:p w:rsidR="000B64BD" w:rsidRPr="002E7EF3" w:rsidRDefault="00281FD9" w:rsidP="002E7EF3">
      <w:pPr>
        <w:spacing w:after="0"/>
        <w:ind w:left="709"/>
        <w:contextualSpacing/>
        <w:jc w:val="both"/>
        <w:rPr>
          <w:rFonts w:eastAsia="Times New Roman" w:cs="Arial"/>
          <w:bCs/>
          <w:szCs w:val="24"/>
        </w:rPr>
      </w:pPr>
      <w:r>
        <w:rPr>
          <w:rFonts w:eastAsia="Times New Roman" w:cs="Arial"/>
          <w:b/>
          <w:bCs/>
          <w:szCs w:val="24"/>
          <w:lang w:val="es-ES_tradnl"/>
        </w:rPr>
        <w:t xml:space="preserve">CUARTO.- </w:t>
      </w:r>
      <w:r w:rsidR="00847037" w:rsidRPr="00C00005">
        <w:rPr>
          <w:rFonts w:eastAsia="Times New Roman" w:cs="Arial"/>
          <w:bCs/>
          <w:szCs w:val="24"/>
          <w:lang w:val="es-ES_tradnl"/>
        </w:rPr>
        <w:t>Que la Constitución Política de la Ciudad de México en su</w:t>
      </w:r>
      <w:r w:rsidR="00D97C9F">
        <w:rPr>
          <w:rFonts w:eastAsia="Times New Roman" w:cs="Arial"/>
          <w:bCs/>
          <w:szCs w:val="24"/>
          <w:lang w:val="es-ES_tradnl"/>
        </w:rPr>
        <w:t>s</w:t>
      </w:r>
      <w:r w:rsidR="00847037" w:rsidRPr="00C00005">
        <w:rPr>
          <w:rFonts w:eastAsia="Times New Roman" w:cs="Arial"/>
          <w:bCs/>
          <w:szCs w:val="24"/>
          <w:lang w:val="es-ES_tradnl"/>
        </w:rPr>
        <w:t xml:space="preserve"> artículo</w:t>
      </w:r>
      <w:r w:rsidR="00D97C9F">
        <w:rPr>
          <w:rFonts w:eastAsia="Times New Roman" w:cs="Arial"/>
          <w:bCs/>
          <w:szCs w:val="24"/>
          <w:lang w:val="es-ES_tradnl"/>
        </w:rPr>
        <w:t>s</w:t>
      </w:r>
      <w:r w:rsidR="00847037">
        <w:rPr>
          <w:rFonts w:eastAsia="Times New Roman" w:cs="Arial"/>
          <w:bCs/>
          <w:szCs w:val="24"/>
          <w:lang w:val="es-ES_tradnl"/>
        </w:rPr>
        <w:t xml:space="preserve"> </w:t>
      </w:r>
      <w:r w:rsidR="00111432">
        <w:rPr>
          <w:rFonts w:eastAsia="Times New Roman" w:cs="Arial"/>
          <w:bCs/>
          <w:szCs w:val="24"/>
          <w:lang w:val="es-ES_tradnl"/>
        </w:rPr>
        <w:t>4, apartado B, punto 4; apartado C, punto 2 y 11, apartado C y H</w:t>
      </w:r>
      <w:r w:rsidR="00D97C9F">
        <w:rPr>
          <w:rFonts w:eastAsia="Times New Roman" w:cs="Arial"/>
          <w:bCs/>
          <w:szCs w:val="24"/>
          <w:lang w:val="es-ES_tradnl"/>
        </w:rPr>
        <w:t xml:space="preserve">, </w:t>
      </w:r>
      <w:r w:rsidR="00847037">
        <w:rPr>
          <w:rFonts w:eastAsia="Times New Roman" w:cs="Arial"/>
          <w:bCs/>
          <w:szCs w:val="24"/>
          <w:lang w:val="es-ES_tradnl"/>
        </w:rPr>
        <w:t xml:space="preserve"> establece al derecho a</w:t>
      </w:r>
      <w:r w:rsidR="00111432">
        <w:rPr>
          <w:rFonts w:eastAsia="Times New Roman" w:cs="Arial"/>
          <w:bCs/>
          <w:szCs w:val="24"/>
          <w:lang w:val="es-ES_tradnl"/>
        </w:rPr>
        <w:t xml:space="preserve"> la igualdad y no discriminación y el derecho a una ciudad incluyente; estableciendo que </w:t>
      </w:r>
      <w:r w:rsidR="00111432" w:rsidRPr="00111432">
        <w:rPr>
          <w:rFonts w:eastAsia="Times New Roman" w:cs="Arial"/>
          <w:bCs/>
          <w:i/>
          <w:szCs w:val="24"/>
          <w:lang w:val="es-ES_tradnl"/>
        </w:rPr>
        <w:t>“…</w:t>
      </w:r>
      <w:r w:rsidR="00111432" w:rsidRPr="00111432">
        <w:rPr>
          <w:rFonts w:eastAsia="Times New Roman" w:cs="Arial"/>
          <w:bCs/>
          <w:i/>
          <w:szCs w:val="24"/>
        </w:rPr>
        <w:t>Las autoridades adoptarán todas las medidas necesarias, temporales y permanentes, para erradicar la discriminación, la desigualdad de género y toda forma de violencia contra las mujeres.”</w:t>
      </w:r>
      <w:r w:rsidR="002E7EF3">
        <w:rPr>
          <w:rFonts w:eastAsia="Times New Roman" w:cs="Arial"/>
          <w:bCs/>
          <w:i/>
          <w:szCs w:val="24"/>
        </w:rPr>
        <w:t xml:space="preserve">. </w:t>
      </w:r>
      <w:r w:rsidR="002E7EF3">
        <w:rPr>
          <w:rFonts w:eastAsia="Times New Roman" w:cs="Arial"/>
          <w:bCs/>
          <w:szCs w:val="24"/>
        </w:rPr>
        <w:t>Estableciendo de esta forma</w:t>
      </w:r>
      <w:r w:rsidR="002E7EF3" w:rsidRPr="002E7EF3">
        <w:rPr>
          <w:rFonts w:eastAsia="Times New Roman" w:cs="Arial"/>
          <w:bCs/>
          <w:szCs w:val="24"/>
        </w:rPr>
        <w:t xml:space="preserve"> la aplicación transversal de los derechos humanos</w:t>
      </w:r>
      <w:r w:rsidR="002E7EF3">
        <w:rPr>
          <w:rFonts w:eastAsia="Times New Roman" w:cs="Arial"/>
          <w:bCs/>
          <w:szCs w:val="24"/>
        </w:rPr>
        <w:t>, así como la obligación de</w:t>
      </w:r>
      <w:r w:rsidR="002E7EF3" w:rsidRPr="002E7EF3">
        <w:rPr>
          <w:rFonts w:eastAsia="Times New Roman" w:cs="Arial"/>
          <w:bCs/>
          <w:szCs w:val="24"/>
        </w:rPr>
        <w:t xml:space="preserve"> las autoridades</w:t>
      </w:r>
      <w:r w:rsidR="002E7EF3">
        <w:rPr>
          <w:rFonts w:eastAsia="Times New Roman" w:cs="Arial"/>
          <w:bCs/>
          <w:szCs w:val="24"/>
        </w:rPr>
        <w:t xml:space="preserve"> de atender a la población bajo</w:t>
      </w:r>
      <w:r w:rsidR="002E7EF3" w:rsidRPr="002E7EF3">
        <w:rPr>
          <w:rFonts w:eastAsia="Times New Roman" w:cs="Arial"/>
          <w:bCs/>
          <w:szCs w:val="24"/>
        </w:rPr>
        <w:t xml:space="preserve"> las perspectivas de género, la no discriminación, la inclusión, la accesibilidad, el interés superior de niñas, niños y adolescentes, el diseño universal, la interculturalidad, la etaria y la sustentabilidad.</w:t>
      </w:r>
    </w:p>
    <w:p w:rsidR="000B64BD" w:rsidRPr="005E054A" w:rsidRDefault="00C00005" w:rsidP="00871FDF">
      <w:pPr>
        <w:numPr>
          <w:ilvl w:val="0"/>
          <w:numId w:val="1"/>
        </w:numPr>
        <w:spacing w:before="240" w:after="240" w:line="276" w:lineRule="auto"/>
        <w:ind w:left="709"/>
        <w:jc w:val="both"/>
        <w:rPr>
          <w:b/>
          <w:szCs w:val="24"/>
          <w:lang w:val="es-ES_tradnl"/>
        </w:rPr>
      </w:pPr>
      <w:r w:rsidRPr="00C00005">
        <w:rPr>
          <w:b/>
          <w:szCs w:val="24"/>
          <w:lang w:val="es-ES_tradnl"/>
        </w:rPr>
        <w:lastRenderedPageBreak/>
        <w:t>Denominación del proyecto de ley o decreto;</w:t>
      </w:r>
    </w:p>
    <w:p w:rsidR="00C00005" w:rsidRPr="00C00005" w:rsidRDefault="00C00005" w:rsidP="00871FDF">
      <w:pPr>
        <w:spacing w:before="240" w:after="240" w:line="276" w:lineRule="auto"/>
        <w:jc w:val="both"/>
        <w:rPr>
          <w:bCs/>
          <w:szCs w:val="24"/>
          <w:lang w:val="es-ES_tradnl"/>
        </w:rPr>
      </w:pPr>
      <w:r w:rsidRPr="00C00005">
        <w:rPr>
          <w:bCs/>
          <w:szCs w:val="24"/>
          <w:lang w:val="es-ES_tradnl"/>
        </w:rPr>
        <w:t>A saber, es la siguiente:</w:t>
      </w:r>
    </w:p>
    <w:p w:rsidR="002E7EF3" w:rsidRDefault="002E7EF3" w:rsidP="00080432">
      <w:pPr>
        <w:spacing w:before="240" w:after="240" w:line="276" w:lineRule="auto"/>
        <w:jc w:val="both"/>
        <w:rPr>
          <w:rFonts w:cs="Arial"/>
          <w:b/>
          <w:lang w:val="es-ES_tradnl"/>
        </w:rPr>
      </w:pPr>
      <w:r w:rsidRPr="002E7EF3">
        <w:rPr>
          <w:rFonts w:cs="Arial"/>
          <w:b/>
          <w:lang w:val="es-ES_tradnl"/>
        </w:rPr>
        <w:t xml:space="preserve">INICIATIVA CON PROYECTO DE DECRETO POR EL QUE SE REFORMAN LOS ARTÍCULOS 57 y 125 DE LA LEY DE PROCEDIMIENTO ADMINISTRATIVO DE LA CIUDAD DE MÉXICO </w:t>
      </w:r>
    </w:p>
    <w:p w:rsidR="000B64BD" w:rsidRDefault="002E7EF3" w:rsidP="002E7EF3">
      <w:pPr>
        <w:spacing w:before="240" w:after="240" w:line="276" w:lineRule="auto"/>
        <w:jc w:val="both"/>
        <w:rPr>
          <w:b/>
          <w:szCs w:val="24"/>
          <w:lang w:val="es-ES_tradnl"/>
        </w:rPr>
      </w:pPr>
      <w:r>
        <w:rPr>
          <w:b/>
          <w:szCs w:val="24"/>
          <w:lang w:val="es-ES_tradnl"/>
        </w:rPr>
        <w:t>Ordenamiento a reformar</w:t>
      </w:r>
      <w:r w:rsidR="00C00005" w:rsidRPr="00C00005">
        <w:rPr>
          <w:b/>
          <w:szCs w:val="24"/>
          <w:lang w:val="es-ES_tradnl"/>
        </w:rPr>
        <w:t>;</w:t>
      </w:r>
    </w:p>
    <w:p w:rsidR="00C00005" w:rsidRPr="00C00005" w:rsidRDefault="00307E09" w:rsidP="00BB4BD9">
      <w:pPr>
        <w:spacing w:after="0"/>
        <w:ind w:firstLine="426"/>
        <w:jc w:val="both"/>
        <w:rPr>
          <w:bCs/>
          <w:szCs w:val="24"/>
          <w:lang w:val="es-ES_tradnl"/>
        </w:rPr>
      </w:pPr>
      <w:r>
        <w:rPr>
          <w:bCs/>
          <w:szCs w:val="24"/>
          <w:lang w:val="es-ES_tradnl"/>
        </w:rPr>
        <w:t>Lo es</w:t>
      </w:r>
      <w:r w:rsidR="00C00005" w:rsidRPr="00C00005">
        <w:rPr>
          <w:bCs/>
          <w:szCs w:val="24"/>
          <w:lang w:val="es-ES_tradnl"/>
        </w:rPr>
        <w:t xml:space="preserve"> en</w:t>
      </w:r>
      <w:r w:rsidR="002E7EF3">
        <w:rPr>
          <w:bCs/>
          <w:szCs w:val="24"/>
          <w:lang w:val="es-ES_tradnl"/>
        </w:rPr>
        <w:t xml:space="preserve"> la especie </w:t>
      </w:r>
      <w:r>
        <w:rPr>
          <w:bCs/>
          <w:szCs w:val="24"/>
          <w:lang w:val="es-ES_tradnl"/>
        </w:rPr>
        <w:t>l</w:t>
      </w:r>
      <w:r w:rsidR="002E7EF3">
        <w:rPr>
          <w:bCs/>
          <w:szCs w:val="24"/>
          <w:lang w:val="es-ES_tradnl"/>
        </w:rPr>
        <w:t>os</w:t>
      </w:r>
      <w:r>
        <w:rPr>
          <w:bCs/>
          <w:szCs w:val="24"/>
          <w:lang w:val="es-ES_tradnl"/>
        </w:rPr>
        <w:t xml:space="preserve"> artículo</w:t>
      </w:r>
      <w:r w:rsidR="002E7EF3">
        <w:rPr>
          <w:bCs/>
          <w:szCs w:val="24"/>
          <w:lang w:val="es-ES_tradnl"/>
        </w:rPr>
        <w:t>s 57 y 125</w:t>
      </w:r>
      <w:r>
        <w:rPr>
          <w:bCs/>
          <w:szCs w:val="24"/>
          <w:lang w:val="es-ES_tradnl"/>
        </w:rPr>
        <w:t xml:space="preserve"> de la Ley de </w:t>
      </w:r>
      <w:r w:rsidR="002E7EF3">
        <w:rPr>
          <w:bCs/>
          <w:szCs w:val="24"/>
          <w:lang w:val="es-ES_tradnl"/>
        </w:rPr>
        <w:t>Procedimiento Administrativo de la Ciudad de México</w:t>
      </w:r>
      <w:r w:rsidR="00EB5875">
        <w:rPr>
          <w:bCs/>
          <w:szCs w:val="24"/>
          <w:lang w:val="es-ES_tradnl"/>
        </w:rPr>
        <w:t>.</w:t>
      </w:r>
      <w:r>
        <w:rPr>
          <w:bCs/>
          <w:szCs w:val="24"/>
          <w:lang w:val="es-ES_tradnl"/>
        </w:rPr>
        <w:t xml:space="preserve"> </w:t>
      </w:r>
    </w:p>
    <w:p w:rsidR="000B64BD" w:rsidRPr="00C00005" w:rsidRDefault="000B64BD" w:rsidP="00871FDF">
      <w:pPr>
        <w:spacing w:after="0"/>
        <w:jc w:val="both"/>
        <w:rPr>
          <w:bCs/>
          <w:szCs w:val="24"/>
          <w:lang w:val="es-ES_tradnl"/>
        </w:rPr>
      </w:pPr>
    </w:p>
    <w:p w:rsidR="00C00005" w:rsidRDefault="00C00005" w:rsidP="00871FDF">
      <w:pPr>
        <w:numPr>
          <w:ilvl w:val="0"/>
          <w:numId w:val="1"/>
        </w:numPr>
        <w:spacing w:after="0" w:line="240" w:lineRule="auto"/>
        <w:ind w:left="709" w:hanging="283"/>
        <w:jc w:val="both"/>
        <w:rPr>
          <w:b/>
          <w:szCs w:val="24"/>
          <w:lang w:val="es-ES_tradnl"/>
        </w:rPr>
      </w:pPr>
      <w:r w:rsidRPr="00C00005">
        <w:rPr>
          <w:b/>
          <w:szCs w:val="24"/>
          <w:lang w:val="es-ES_tradnl"/>
        </w:rPr>
        <w:t>Texto normativo propuesto</w:t>
      </w:r>
      <w:r w:rsidR="005E054A">
        <w:rPr>
          <w:b/>
          <w:szCs w:val="24"/>
          <w:lang w:val="es-ES_tradnl"/>
        </w:rPr>
        <w:t>.</w:t>
      </w:r>
    </w:p>
    <w:p w:rsidR="00D86F08" w:rsidRDefault="00D86F08" w:rsidP="00D86F08">
      <w:pPr>
        <w:spacing w:after="0" w:line="240" w:lineRule="auto"/>
        <w:jc w:val="both"/>
        <w:rPr>
          <w:b/>
          <w:szCs w:val="24"/>
          <w:lang w:val="es-ES_tradnl"/>
        </w:rPr>
      </w:pPr>
    </w:p>
    <w:tbl>
      <w:tblPr>
        <w:tblStyle w:val="Tablaconcuadrcula"/>
        <w:tblW w:w="0" w:type="auto"/>
        <w:tblLook w:val="04A0"/>
      </w:tblPr>
      <w:tblGrid>
        <w:gridCol w:w="4388"/>
        <w:gridCol w:w="4391"/>
      </w:tblGrid>
      <w:tr w:rsidR="00D86F08" w:rsidRPr="00D86F08" w:rsidTr="006210C8">
        <w:trPr>
          <w:trHeight w:val="997"/>
        </w:trPr>
        <w:tc>
          <w:tcPr>
            <w:tcW w:w="8779" w:type="dxa"/>
            <w:gridSpan w:val="2"/>
            <w:shd w:val="clear" w:color="auto" w:fill="000000" w:themeFill="text1"/>
          </w:tcPr>
          <w:p w:rsidR="00D86F08" w:rsidRPr="00D86F08" w:rsidRDefault="00D86F08" w:rsidP="002E7EF3">
            <w:pPr>
              <w:jc w:val="center"/>
              <w:rPr>
                <w:rFonts w:ascii="Arial" w:hAnsi="Arial"/>
                <w:b/>
                <w:lang w:val="es-ES_tradnl"/>
              </w:rPr>
            </w:pPr>
            <w:r w:rsidRPr="00D86F08">
              <w:rPr>
                <w:rFonts w:ascii="Arial" w:hAnsi="Arial"/>
                <w:b/>
                <w:bCs/>
                <w:lang w:val="es-ES_tradnl"/>
              </w:rPr>
              <w:t xml:space="preserve">LEY DE </w:t>
            </w:r>
            <w:r w:rsidR="002E7EF3">
              <w:rPr>
                <w:rFonts w:ascii="Arial" w:hAnsi="Arial"/>
                <w:b/>
                <w:bCs/>
                <w:lang w:val="es-ES_tradnl"/>
              </w:rPr>
              <w:t xml:space="preserve">PROCEDIMIENTO ADMINISTRATIVO </w:t>
            </w:r>
            <w:r w:rsidRPr="00D86F08">
              <w:rPr>
                <w:rFonts w:ascii="Arial" w:hAnsi="Arial"/>
                <w:b/>
                <w:bCs/>
                <w:lang w:val="es-ES_tradnl"/>
              </w:rPr>
              <w:t>DE LA CIUDAD DE MÉXICO</w:t>
            </w:r>
          </w:p>
        </w:tc>
      </w:tr>
      <w:tr w:rsidR="00D86F08" w:rsidRPr="001C5B2A" w:rsidTr="006210C8">
        <w:trPr>
          <w:trHeight w:val="567"/>
        </w:trPr>
        <w:tc>
          <w:tcPr>
            <w:tcW w:w="4388" w:type="dxa"/>
            <w:shd w:val="clear" w:color="auto" w:fill="D9E2F3" w:themeFill="accent1" w:themeFillTint="33"/>
          </w:tcPr>
          <w:p w:rsidR="00D86F08" w:rsidRPr="001C5B2A" w:rsidRDefault="00D86F08" w:rsidP="00D86F08">
            <w:pPr>
              <w:jc w:val="center"/>
              <w:rPr>
                <w:rFonts w:ascii="Arial" w:hAnsi="Arial" w:cs="Arial"/>
                <w:b/>
                <w:lang w:val="es-ES_tradnl"/>
              </w:rPr>
            </w:pPr>
            <w:r w:rsidRPr="001C5B2A">
              <w:rPr>
                <w:rFonts w:ascii="Arial" w:hAnsi="Arial" w:cs="Arial"/>
                <w:b/>
                <w:lang w:val="es-ES_tradnl"/>
              </w:rPr>
              <w:t>TEXTO NORMATIVO VIGENTE</w:t>
            </w:r>
          </w:p>
        </w:tc>
        <w:tc>
          <w:tcPr>
            <w:tcW w:w="4391" w:type="dxa"/>
            <w:shd w:val="clear" w:color="auto" w:fill="D9E2F3" w:themeFill="accent1" w:themeFillTint="33"/>
          </w:tcPr>
          <w:p w:rsidR="00D86F08" w:rsidRPr="001C5B2A" w:rsidRDefault="00D86F08" w:rsidP="00D86F08">
            <w:pPr>
              <w:jc w:val="center"/>
              <w:rPr>
                <w:rFonts w:ascii="Arial" w:hAnsi="Arial" w:cs="Arial"/>
                <w:b/>
                <w:lang w:val="es-ES_tradnl"/>
              </w:rPr>
            </w:pPr>
            <w:r w:rsidRPr="001C5B2A">
              <w:rPr>
                <w:rFonts w:ascii="Arial" w:hAnsi="Arial" w:cs="Arial"/>
                <w:b/>
                <w:lang w:val="es-ES_tradnl"/>
              </w:rPr>
              <w:t>TEXTO NORMATIVO PROPUESTO</w:t>
            </w:r>
          </w:p>
        </w:tc>
      </w:tr>
      <w:tr w:rsidR="00D86F08" w:rsidRPr="002E7EF3" w:rsidTr="001C5B2A">
        <w:trPr>
          <w:trHeight w:val="567"/>
        </w:trPr>
        <w:tc>
          <w:tcPr>
            <w:tcW w:w="4388" w:type="dxa"/>
            <w:shd w:val="clear" w:color="auto" w:fill="auto"/>
          </w:tcPr>
          <w:p w:rsidR="002E7EF3" w:rsidRDefault="002E7EF3" w:rsidP="002E7EF3">
            <w:pPr>
              <w:jc w:val="both"/>
              <w:rPr>
                <w:rFonts w:ascii="Arial" w:hAnsi="Arial" w:cs="Arial"/>
                <w:b/>
                <w:bCs/>
                <w:lang w:val="es-ES"/>
              </w:rPr>
            </w:pPr>
          </w:p>
          <w:p w:rsidR="002E7EF3" w:rsidRPr="002E7EF3" w:rsidRDefault="002E7EF3" w:rsidP="002E7EF3">
            <w:pPr>
              <w:jc w:val="both"/>
              <w:rPr>
                <w:rFonts w:ascii="Arial" w:hAnsi="Arial" w:cs="Arial"/>
                <w:lang w:val="es-ES"/>
              </w:rPr>
            </w:pPr>
            <w:r w:rsidRPr="002E7EF3">
              <w:rPr>
                <w:rFonts w:ascii="Arial" w:hAnsi="Arial" w:cs="Arial"/>
                <w:b/>
                <w:bCs/>
                <w:lang w:val="es-ES"/>
              </w:rPr>
              <w:t xml:space="preserve">Artículo 57.-  </w:t>
            </w:r>
            <w:r w:rsidR="00103469">
              <w:rPr>
                <w:rFonts w:ascii="Arial" w:hAnsi="Arial" w:cs="Arial"/>
                <w:lang w:val="es-ES"/>
              </w:rPr>
              <w:t>(…)</w:t>
            </w:r>
          </w:p>
          <w:p w:rsidR="002E7EF3" w:rsidRPr="002E7EF3" w:rsidRDefault="002E7EF3" w:rsidP="002E7EF3">
            <w:pPr>
              <w:jc w:val="both"/>
              <w:rPr>
                <w:rFonts w:ascii="Arial" w:hAnsi="Arial" w:cs="Arial"/>
                <w:lang w:val="es-ES"/>
              </w:rPr>
            </w:pPr>
          </w:p>
          <w:p w:rsidR="002E7EF3" w:rsidRPr="002E7EF3" w:rsidRDefault="00103469" w:rsidP="002E7EF3">
            <w:pPr>
              <w:jc w:val="both"/>
              <w:rPr>
                <w:rFonts w:ascii="Arial" w:hAnsi="Arial" w:cs="Arial"/>
                <w:lang w:val="es-ES"/>
              </w:rPr>
            </w:pPr>
            <w:r>
              <w:rPr>
                <w:rFonts w:ascii="Arial" w:hAnsi="Arial" w:cs="Arial"/>
                <w:lang w:val="es-ES"/>
              </w:rPr>
              <w:t>(…)</w:t>
            </w:r>
          </w:p>
          <w:p w:rsidR="002E7EF3" w:rsidRPr="002E7EF3" w:rsidRDefault="002E7EF3" w:rsidP="002E7EF3">
            <w:pPr>
              <w:jc w:val="both"/>
              <w:rPr>
                <w:rFonts w:ascii="Arial" w:hAnsi="Arial" w:cs="Arial"/>
                <w:b/>
                <w:lang w:val="es-ES"/>
              </w:rPr>
            </w:pPr>
          </w:p>
          <w:p w:rsidR="002E7EF3" w:rsidRPr="002E7EF3" w:rsidRDefault="00103469" w:rsidP="002E7EF3">
            <w:pPr>
              <w:jc w:val="both"/>
              <w:rPr>
                <w:rFonts w:ascii="Arial" w:hAnsi="Arial" w:cs="Arial"/>
                <w:lang w:val="es-ES"/>
              </w:rPr>
            </w:pPr>
            <w:r>
              <w:rPr>
                <w:rFonts w:ascii="Arial" w:hAnsi="Arial" w:cs="Arial"/>
                <w:lang w:val="es-ES"/>
              </w:rPr>
              <w:t>(…)</w:t>
            </w:r>
          </w:p>
          <w:p w:rsidR="002E7EF3" w:rsidRPr="002E7EF3" w:rsidRDefault="002E7EF3" w:rsidP="002E7EF3">
            <w:pPr>
              <w:jc w:val="both"/>
              <w:rPr>
                <w:rFonts w:ascii="Arial" w:hAnsi="Arial" w:cs="Arial"/>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32579A" w:rsidRDefault="0032579A" w:rsidP="002E7EF3">
            <w:pPr>
              <w:jc w:val="both"/>
              <w:rPr>
                <w:rFonts w:ascii="Arial" w:hAnsi="Arial" w:cs="Arial"/>
                <w:b/>
                <w:bCs/>
                <w:lang w:val="es-ES"/>
              </w:rPr>
            </w:pPr>
          </w:p>
          <w:p w:rsidR="004E7F61" w:rsidRDefault="004E7F61" w:rsidP="002E7EF3">
            <w:pPr>
              <w:jc w:val="both"/>
              <w:rPr>
                <w:rFonts w:ascii="Arial" w:hAnsi="Arial" w:cs="Arial"/>
                <w:b/>
                <w:bCs/>
                <w:lang w:val="es-ES"/>
              </w:rPr>
            </w:pPr>
          </w:p>
          <w:p w:rsidR="002E7EF3" w:rsidRPr="002E7EF3" w:rsidRDefault="002E7EF3" w:rsidP="002E7EF3">
            <w:pPr>
              <w:jc w:val="both"/>
              <w:rPr>
                <w:rFonts w:ascii="Arial" w:hAnsi="Arial" w:cs="Arial"/>
                <w:lang w:val="es-ES"/>
              </w:rPr>
            </w:pPr>
            <w:r w:rsidRPr="002E7EF3">
              <w:rPr>
                <w:rFonts w:ascii="Arial" w:hAnsi="Arial" w:cs="Arial"/>
                <w:b/>
                <w:bCs/>
                <w:lang w:val="es-ES"/>
              </w:rPr>
              <w:t xml:space="preserve">Artículo 125.- </w:t>
            </w:r>
            <w:r w:rsidRPr="002E7EF3">
              <w:rPr>
                <w:rFonts w:ascii="Arial" w:hAnsi="Arial" w:cs="Arial"/>
                <w:lang w:val="es-ES"/>
              </w:rPr>
              <w:t xml:space="preserve">La resolución del recurso se fundará en derecho y </w:t>
            </w:r>
            <w:r w:rsidRPr="002E7EF3">
              <w:rPr>
                <w:rFonts w:ascii="Arial" w:hAnsi="Arial" w:cs="Arial"/>
                <w:lang w:val="es-ES"/>
              </w:rPr>
              <w:lastRenderedPageBreak/>
              <w:t xml:space="preserve">examinará todos y cada uno de los agravios hechos valer por el recurrente, teniendo la autoridad competente la facultad de invocar hechos notorios; pero cuando uno de los agravios sea suficiente para desvirtuar la validez del acto impugnado, bastará con el examen de dicho punto. </w:t>
            </w:r>
          </w:p>
          <w:p w:rsidR="002E7EF3" w:rsidRDefault="002E7EF3" w:rsidP="002E7EF3">
            <w:pPr>
              <w:jc w:val="both"/>
              <w:rPr>
                <w:rFonts w:ascii="Arial" w:hAnsi="Arial" w:cs="Arial"/>
                <w:lang w:val="es-ES"/>
              </w:rPr>
            </w:pPr>
          </w:p>
          <w:p w:rsidR="00D41B40" w:rsidRDefault="00D41B40" w:rsidP="002E7EF3">
            <w:pPr>
              <w:jc w:val="both"/>
              <w:rPr>
                <w:rFonts w:ascii="Arial" w:hAnsi="Arial" w:cs="Arial"/>
                <w:lang w:val="es-ES"/>
              </w:rPr>
            </w:pPr>
          </w:p>
          <w:p w:rsidR="00D41B40" w:rsidRDefault="00D41B40" w:rsidP="002E7EF3">
            <w:pPr>
              <w:jc w:val="both"/>
              <w:rPr>
                <w:rFonts w:ascii="Arial" w:hAnsi="Arial" w:cs="Arial"/>
                <w:lang w:val="es-ES"/>
              </w:rPr>
            </w:pPr>
            <w:bookmarkStart w:id="0" w:name="_GoBack"/>
            <w:bookmarkEnd w:id="0"/>
          </w:p>
          <w:p w:rsidR="00D41B40" w:rsidRDefault="00D41B40" w:rsidP="002E7EF3">
            <w:pPr>
              <w:jc w:val="both"/>
              <w:rPr>
                <w:rFonts w:ascii="Arial" w:hAnsi="Arial" w:cs="Arial"/>
                <w:lang w:val="es-ES"/>
              </w:rPr>
            </w:pPr>
          </w:p>
          <w:p w:rsidR="00D41B40" w:rsidRDefault="00D41B40" w:rsidP="002E7EF3">
            <w:pPr>
              <w:jc w:val="both"/>
              <w:rPr>
                <w:rFonts w:ascii="Arial" w:hAnsi="Arial" w:cs="Arial"/>
                <w:lang w:val="es-ES"/>
              </w:rPr>
            </w:pPr>
          </w:p>
          <w:p w:rsidR="00D41B40" w:rsidRDefault="00D41B40" w:rsidP="002E7EF3">
            <w:pPr>
              <w:jc w:val="both"/>
              <w:rPr>
                <w:rFonts w:ascii="Arial" w:hAnsi="Arial" w:cs="Arial"/>
                <w:lang w:val="es-ES"/>
              </w:rPr>
            </w:pPr>
          </w:p>
          <w:p w:rsidR="00D41B40" w:rsidRDefault="00D41B40" w:rsidP="002E7EF3">
            <w:pPr>
              <w:jc w:val="both"/>
              <w:rPr>
                <w:rFonts w:ascii="Arial" w:hAnsi="Arial" w:cs="Arial"/>
                <w:lang w:val="es-ES"/>
              </w:rPr>
            </w:pPr>
          </w:p>
          <w:p w:rsidR="00D41B40" w:rsidRDefault="00D41B40" w:rsidP="002E7EF3">
            <w:pPr>
              <w:jc w:val="both"/>
              <w:rPr>
                <w:rFonts w:ascii="Arial" w:hAnsi="Arial" w:cs="Arial"/>
                <w:lang w:val="es-ES"/>
              </w:rPr>
            </w:pPr>
          </w:p>
          <w:p w:rsidR="00D41B40" w:rsidRPr="002E7EF3" w:rsidRDefault="00D41B40" w:rsidP="002E7EF3">
            <w:pPr>
              <w:jc w:val="both"/>
              <w:rPr>
                <w:rFonts w:ascii="Arial" w:hAnsi="Arial" w:cs="Arial"/>
                <w:lang w:val="es-ES"/>
              </w:rPr>
            </w:pPr>
          </w:p>
          <w:p w:rsidR="002E7EF3" w:rsidRPr="002E7EF3" w:rsidRDefault="00103469" w:rsidP="002E7EF3">
            <w:pPr>
              <w:jc w:val="both"/>
              <w:rPr>
                <w:rFonts w:ascii="Arial" w:hAnsi="Arial" w:cs="Arial"/>
                <w:lang w:val="es-ES"/>
              </w:rPr>
            </w:pPr>
            <w:r>
              <w:rPr>
                <w:rFonts w:ascii="Arial" w:hAnsi="Arial" w:cs="Arial"/>
                <w:lang w:val="es-ES"/>
              </w:rPr>
              <w:t>(…)</w:t>
            </w:r>
            <w:r w:rsidR="002E7EF3" w:rsidRPr="002E7EF3">
              <w:rPr>
                <w:rFonts w:ascii="Arial" w:hAnsi="Arial" w:cs="Arial"/>
                <w:lang w:val="es-ES"/>
              </w:rPr>
              <w:t xml:space="preserve"> </w:t>
            </w:r>
          </w:p>
          <w:p w:rsidR="002E7EF3" w:rsidRPr="002E7EF3" w:rsidRDefault="002E7EF3" w:rsidP="002E7EF3">
            <w:pPr>
              <w:jc w:val="both"/>
              <w:rPr>
                <w:rFonts w:ascii="Arial" w:hAnsi="Arial" w:cs="Arial"/>
                <w:lang w:val="es-ES"/>
              </w:rPr>
            </w:pPr>
          </w:p>
          <w:p w:rsidR="002E7EF3" w:rsidRPr="002E7EF3" w:rsidRDefault="00103469" w:rsidP="002E7EF3">
            <w:pPr>
              <w:jc w:val="both"/>
              <w:rPr>
                <w:rFonts w:ascii="Arial" w:hAnsi="Arial" w:cs="Arial"/>
                <w:lang w:val="es-ES"/>
              </w:rPr>
            </w:pPr>
            <w:r>
              <w:rPr>
                <w:rFonts w:ascii="Arial" w:hAnsi="Arial" w:cs="Arial"/>
                <w:lang w:val="es-ES"/>
              </w:rPr>
              <w:t>(…)</w:t>
            </w:r>
            <w:r w:rsidR="002E7EF3" w:rsidRPr="002E7EF3">
              <w:rPr>
                <w:rFonts w:ascii="Arial" w:hAnsi="Arial" w:cs="Arial"/>
                <w:lang w:val="es-ES"/>
              </w:rPr>
              <w:t xml:space="preserve"> </w:t>
            </w:r>
          </w:p>
          <w:p w:rsidR="00D86F08" w:rsidRPr="002E7EF3" w:rsidRDefault="00D86F08" w:rsidP="00D86F08">
            <w:pPr>
              <w:jc w:val="both"/>
              <w:rPr>
                <w:rFonts w:ascii="Arial" w:hAnsi="Arial" w:cs="Arial"/>
                <w:b/>
                <w:lang w:val="es-ES_tradnl"/>
              </w:rPr>
            </w:pPr>
          </w:p>
        </w:tc>
        <w:tc>
          <w:tcPr>
            <w:tcW w:w="4391" w:type="dxa"/>
            <w:shd w:val="clear" w:color="auto" w:fill="auto"/>
          </w:tcPr>
          <w:p w:rsidR="00D86F08" w:rsidRDefault="00D86F08" w:rsidP="0048321B">
            <w:pPr>
              <w:tabs>
                <w:tab w:val="left" w:pos="3195"/>
              </w:tabs>
              <w:jc w:val="both"/>
              <w:rPr>
                <w:rFonts w:ascii="Arial" w:hAnsi="Arial" w:cs="Arial"/>
                <w:b/>
                <w:lang w:val="es-ES_tradnl"/>
              </w:rPr>
            </w:pPr>
          </w:p>
          <w:p w:rsidR="00DD13EE" w:rsidRPr="00DD13EE" w:rsidRDefault="00DD13EE" w:rsidP="00DD13EE">
            <w:pPr>
              <w:tabs>
                <w:tab w:val="left" w:pos="3195"/>
              </w:tabs>
              <w:jc w:val="both"/>
              <w:rPr>
                <w:rFonts w:ascii="Arial" w:hAnsi="Arial" w:cs="Arial"/>
                <w:lang w:val="es-ES"/>
              </w:rPr>
            </w:pPr>
            <w:r w:rsidRPr="00DD13EE">
              <w:rPr>
                <w:rFonts w:ascii="Arial" w:hAnsi="Arial" w:cs="Arial"/>
                <w:b/>
                <w:bCs/>
                <w:lang w:val="es-ES"/>
              </w:rPr>
              <w:t xml:space="preserve">Artículo 57.-  </w:t>
            </w:r>
            <w:r w:rsidR="00103469">
              <w:rPr>
                <w:rFonts w:ascii="Arial" w:hAnsi="Arial" w:cs="Arial"/>
                <w:lang w:val="es-ES"/>
              </w:rPr>
              <w:t>(…)</w:t>
            </w:r>
          </w:p>
          <w:p w:rsidR="00DD13EE" w:rsidRPr="00DD13EE" w:rsidRDefault="00DD13EE" w:rsidP="00DD13EE">
            <w:pPr>
              <w:tabs>
                <w:tab w:val="left" w:pos="3195"/>
              </w:tabs>
              <w:jc w:val="both"/>
              <w:rPr>
                <w:rFonts w:ascii="Arial" w:hAnsi="Arial" w:cs="Arial"/>
                <w:lang w:val="es-ES"/>
              </w:rPr>
            </w:pPr>
          </w:p>
          <w:p w:rsidR="00DD13EE" w:rsidRPr="00DD13EE" w:rsidRDefault="00103469" w:rsidP="00DD13EE">
            <w:pPr>
              <w:tabs>
                <w:tab w:val="left" w:pos="3195"/>
              </w:tabs>
              <w:jc w:val="both"/>
              <w:rPr>
                <w:rFonts w:ascii="Arial" w:hAnsi="Arial" w:cs="Arial"/>
                <w:lang w:val="es-ES"/>
              </w:rPr>
            </w:pPr>
            <w:r>
              <w:rPr>
                <w:rFonts w:ascii="Arial" w:hAnsi="Arial" w:cs="Arial"/>
                <w:lang w:val="es-ES"/>
              </w:rPr>
              <w:t>(…)</w:t>
            </w:r>
          </w:p>
          <w:p w:rsidR="00DD13EE" w:rsidRPr="00DD13EE" w:rsidRDefault="00DD13EE" w:rsidP="00DD13EE">
            <w:pPr>
              <w:tabs>
                <w:tab w:val="left" w:pos="3195"/>
              </w:tabs>
              <w:jc w:val="both"/>
              <w:rPr>
                <w:rFonts w:ascii="Arial" w:hAnsi="Arial" w:cs="Arial"/>
                <w:lang w:val="es-ES"/>
              </w:rPr>
            </w:pPr>
          </w:p>
          <w:p w:rsidR="0032579A" w:rsidRDefault="00103469" w:rsidP="00DD13EE">
            <w:pPr>
              <w:tabs>
                <w:tab w:val="left" w:pos="3195"/>
              </w:tabs>
              <w:jc w:val="both"/>
              <w:rPr>
                <w:rFonts w:ascii="Arial" w:hAnsi="Arial" w:cs="Arial"/>
                <w:b/>
                <w:szCs w:val="22"/>
              </w:rPr>
            </w:pPr>
            <w:r>
              <w:rPr>
                <w:rFonts w:ascii="Arial" w:hAnsi="Arial" w:cs="Arial"/>
                <w:lang w:val="es-ES"/>
              </w:rPr>
              <w:t>(…)</w:t>
            </w:r>
          </w:p>
          <w:p w:rsidR="0032579A" w:rsidRDefault="0032579A" w:rsidP="00DD13EE">
            <w:pPr>
              <w:tabs>
                <w:tab w:val="left" w:pos="3195"/>
              </w:tabs>
              <w:jc w:val="both"/>
              <w:rPr>
                <w:rFonts w:ascii="Arial" w:hAnsi="Arial" w:cs="Arial"/>
                <w:b/>
                <w:szCs w:val="22"/>
              </w:rPr>
            </w:pPr>
          </w:p>
          <w:p w:rsidR="00DD13EE" w:rsidRPr="00DD13EE" w:rsidRDefault="0032579A" w:rsidP="00DD13EE">
            <w:pPr>
              <w:tabs>
                <w:tab w:val="left" w:pos="3195"/>
              </w:tabs>
              <w:jc w:val="both"/>
              <w:rPr>
                <w:rFonts w:ascii="Arial" w:hAnsi="Arial" w:cs="Arial"/>
                <w:lang w:val="es-ES"/>
              </w:rPr>
            </w:pPr>
            <w:r>
              <w:rPr>
                <w:rFonts w:ascii="Arial" w:hAnsi="Arial" w:cs="Arial"/>
                <w:b/>
                <w:szCs w:val="22"/>
              </w:rPr>
              <w:t xml:space="preserve">La autoridad en sus resoluciones </w:t>
            </w:r>
            <w:r w:rsidRPr="0032579A">
              <w:rPr>
                <w:rFonts w:ascii="Arial" w:hAnsi="Arial" w:cs="Arial"/>
                <w:b/>
              </w:rPr>
              <w:t>incorpora</w:t>
            </w:r>
            <w:r w:rsidR="004E7F61">
              <w:rPr>
                <w:rFonts w:ascii="Arial" w:hAnsi="Arial" w:cs="Arial"/>
                <w:b/>
              </w:rPr>
              <w:t>rá un apartado de</w:t>
            </w:r>
            <w:r w:rsidRPr="0032579A">
              <w:rPr>
                <w:rFonts w:ascii="Arial" w:hAnsi="Arial" w:cs="Arial"/>
                <w:b/>
              </w:rPr>
              <w:t xml:space="preserve"> perspectiva de </w:t>
            </w:r>
            <w:proofErr w:type="spellStart"/>
            <w:r w:rsidRPr="0032579A">
              <w:rPr>
                <w:rFonts w:ascii="Arial" w:hAnsi="Arial" w:cs="Arial"/>
                <w:b/>
              </w:rPr>
              <w:t>género</w:t>
            </w:r>
            <w:proofErr w:type="gramStart"/>
            <w:r w:rsidRPr="0032579A">
              <w:rPr>
                <w:rFonts w:ascii="Arial" w:hAnsi="Arial" w:cs="Arial"/>
                <w:b/>
              </w:rPr>
              <w:t>,</w:t>
            </w:r>
            <w:r w:rsidR="004E7F61">
              <w:rPr>
                <w:rFonts w:ascii="Arial" w:hAnsi="Arial" w:cs="Arial"/>
                <w:b/>
              </w:rPr>
              <w:t>en</w:t>
            </w:r>
            <w:proofErr w:type="spellEnd"/>
            <w:proofErr w:type="gramEnd"/>
            <w:r w:rsidR="004E7F61">
              <w:rPr>
                <w:rFonts w:ascii="Arial" w:hAnsi="Arial" w:cs="Arial"/>
                <w:b/>
              </w:rPr>
              <w:t xml:space="preserve"> el que</w:t>
            </w:r>
            <w:r w:rsidRPr="0032579A">
              <w:rPr>
                <w:rFonts w:ascii="Arial" w:hAnsi="Arial" w:cs="Arial"/>
                <w:b/>
              </w:rPr>
              <w:t xml:space="preserve"> de forma transversal y equitati</w:t>
            </w:r>
            <w:r>
              <w:rPr>
                <w:rFonts w:ascii="Arial" w:hAnsi="Arial" w:cs="Arial"/>
                <w:b/>
              </w:rPr>
              <w:t>va mediante</w:t>
            </w:r>
            <w:r w:rsidRPr="0032579A">
              <w:rPr>
                <w:rFonts w:ascii="Arial" w:hAnsi="Arial" w:cs="Arial"/>
                <w:b/>
              </w:rPr>
              <w:t xml:space="preserve"> el</w:t>
            </w:r>
            <w:r w:rsidRPr="0032579A">
              <w:rPr>
                <w:rFonts w:ascii="Arial" w:hAnsi="Arial" w:cs="Arial"/>
              </w:rPr>
              <w:t xml:space="preserve"> </w:t>
            </w:r>
            <w:r w:rsidRPr="0032579A">
              <w:rPr>
                <w:rFonts w:ascii="Arial" w:hAnsi="Arial" w:cs="Arial"/>
                <w:b/>
              </w:rPr>
              <w:t xml:space="preserve">análisis y razonamiento del asunto de que se trate, </w:t>
            </w:r>
            <w:r w:rsidR="004E7F61">
              <w:rPr>
                <w:rFonts w:ascii="Arial" w:hAnsi="Arial" w:cs="Arial"/>
                <w:b/>
              </w:rPr>
              <w:t>deberá</w:t>
            </w:r>
            <w:r w:rsidRPr="0032579A">
              <w:rPr>
                <w:rFonts w:ascii="Arial" w:hAnsi="Arial" w:cs="Arial"/>
                <w:b/>
              </w:rPr>
              <w:t xml:space="preserve"> garantizar a las mujeres y hombres, el ejercicio y goce de sus derechos humanos, en igualdad de condiciones</w:t>
            </w:r>
            <w:r>
              <w:rPr>
                <w:rFonts w:ascii="Arial" w:hAnsi="Arial" w:cs="Arial"/>
                <w:b/>
              </w:rPr>
              <w:t>.</w:t>
            </w:r>
          </w:p>
          <w:p w:rsidR="00DD13EE" w:rsidRDefault="00DD13EE" w:rsidP="00DD13EE">
            <w:pPr>
              <w:tabs>
                <w:tab w:val="left" w:pos="3195"/>
              </w:tabs>
              <w:jc w:val="both"/>
              <w:rPr>
                <w:rFonts w:ascii="Arial" w:hAnsi="Arial" w:cs="Arial"/>
                <w:b/>
                <w:lang w:val="es-ES"/>
              </w:rPr>
            </w:pPr>
          </w:p>
          <w:p w:rsidR="0032579A" w:rsidRPr="00DD13EE" w:rsidRDefault="0032579A" w:rsidP="00DD13EE">
            <w:pPr>
              <w:tabs>
                <w:tab w:val="left" w:pos="3195"/>
              </w:tabs>
              <w:jc w:val="both"/>
              <w:rPr>
                <w:rFonts w:ascii="Arial" w:hAnsi="Arial" w:cs="Arial"/>
                <w:b/>
                <w:lang w:val="es-ES"/>
              </w:rPr>
            </w:pPr>
          </w:p>
          <w:p w:rsidR="0032579A" w:rsidRPr="00DD13EE" w:rsidRDefault="00DD13EE" w:rsidP="00DD13EE">
            <w:pPr>
              <w:tabs>
                <w:tab w:val="left" w:pos="3195"/>
              </w:tabs>
              <w:jc w:val="both"/>
              <w:rPr>
                <w:rFonts w:ascii="Arial" w:hAnsi="Arial" w:cs="Arial"/>
                <w:b/>
                <w:lang w:val="es-ES"/>
              </w:rPr>
            </w:pPr>
            <w:r w:rsidRPr="00DD13EE">
              <w:rPr>
                <w:rFonts w:ascii="Arial" w:hAnsi="Arial" w:cs="Arial"/>
                <w:b/>
                <w:bCs/>
                <w:lang w:val="es-ES"/>
              </w:rPr>
              <w:t xml:space="preserve">Artículo 125.- </w:t>
            </w:r>
            <w:r w:rsidRPr="00DD13EE">
              <w:rPr>
                <w:rFonts w:ascii="Arial" w:hAnsi="Arial" w:cs="Arial"/>
                <w:lang w:val="es-ES"/>
              </w:rPr>
              <w:t>La resolución del recurso se fundará en derecho</w:t>
            </w:r>
            <w:r w:rsidR="0032579A">
              <w:rPr>
                <w:rFonts w:ascii="Arial" w:hAnsi="Arial" w:cs="Arial"/>
                <w:lang w:val="es-ES"/>
              </w:rPr>
              <w:t xml:space="preserve">, </w:t>
            </w:r>
            <w:r w:rsidR="004E7F61" w:rsidRPr="0032579A">
              <w:rPr>
                <w:rFonts w:ascii="Arial" w:hAnsi="Arial" w:cs="Arial"/>
                <w:b/>
              </w:rPr>
              <w:lastRenderedPageBreak/>
              <w:t>incorpora</w:t>
            </w:r>
            <w:r w:rsidR="004E7F61">
              <w:rPr>
                <w:rFonts w:ascii="Arial" w:hAnsi="Arial" w:cs="Arial"/>
                <w:b/>
              </w:rPr>
              <w:t>rá un apartado de</w:t>
            </w:r>
            <w:r w:rsidR="004E7F61" w:rsidRPr="0032579A">
              <w:rPr>
                <w:rFonts w:ascii="Arial" w:hAnsi="Arial" w:cs="Arial"/>
                <w:b/>
              </w:rPr>
              <w:t xml:space="preserve"> perspectiva de </w:t>
            </w:r>
            <w:proofErr w:type="spellStart"/>
            <w:r w:rsidR="004E7F61" w:rsidRPr="0032579A">
              <w:rPr>
                <w:rFonts w:ascii="Arial" w:hAnsi="Arial" w:cs="Arial"/>
                <w:b/>
              </w:rPr>
              <w:t>género,</w:t>
            </w:r>
            <w:r w:rsidR="004E7F61">
              <w:rPr>
                <w:rFonts w:ascii="Arial" w:hAnsi="Arial" w:cs="Arial"/>
                <w:b/>
              </w:rPr>
              <w:t>en</w:t>
            </w:r>
            <w:proofErr w:type="spellEnd"/>
            <w:r w:rsidR="004E7F61">
              <w:rPr>
                <w:rFonts w:ascii="Arial" w:hAnsi="Arial" w:cs="Arial"/>
                <w:b/>
              </w:rPr>
              <w:t xml:space="preserve"> el que</w:t>
            </w:r>
            <w:r w:rsidR="004E7F61" w:rsidRPr="0032579A">
              <w:rPr>
                <w:rFonts w:ascii="Arial" w:hAnsi="Arial" w:cs="Arial"/>
                <w:b/>
              </w:rPr>
              <w:t xml:space="preserve"> de forma transversal y equitati</w:t>
            </w:r>
            <w:r w:rsidR="004E7F61">
              <w:rPr>
                <w:rFonts w:ascii="Arial" w:hAnsi="Arial" w:cs="Arial"/>
                <w:b/>
              </w:rPr>
              <w:t>va mediante</w:t>
            </w:r>
            <w:r w:rsidR="004E7F61" w:rsidRPr="0032579A">
              <w:rPr>
                <w:rFonts w:ascii="Arial" w:hAnsi="Arial" w:cs="Arial"/>
                <w:b/>
              </w:rPr>
              <w:t xml:space="preserve"> el</w:t>
            </w:r>
            <w:r w:rsidR="004E7F61" w:rsidRPr="0032579A">
              <w:rPr>
                <w:rFonts w:ascii="Arial" w:hAnsi="Arial" w:cs="Arial"/>
              </w:rPr>
              <w:t xml:space="preserve"> </w:t>
            </w:r>
            <w:r w:rsidR="004E7F61" w:rsidRPr="0032579A">
              <w:rPr>
                <w:rFonts w:ascii="Arial" w:hAnsi="Arial" w:cs="Arial"/>
                <w:b/>
              </w:rPr>
              <w:t xml:space="preserve">análisis y razonamiento del asunto de que se trate, </w:t>
            </w:r>
            <w:r w:rsidR="004E7F61">
              <w:rPr>
                <w:rFonts w:ascii="Arial" w:hAnsi="Arial" w:cs="Arial"/>
                <w:b/>
              </w:rPr>
              <w:t>deberá</w:t>
            </w:r>
            <w:r w:rsidR="004E7F61" w:rsidRPr="0032579A">
              <w:rPr>
                <w:rFonts w:ascii="Arial" w:hAnsi="Arial" w:cs="Arial"/>
                <w:b/>
              </w:rPr>
              <w:t xml:space="preserve"> garantizar a las mujeres y hombres, el ejercicio y goce de sus derechos humanos, en igualdad de condiciones</w:t>
            </w:r>
            <w:r w:rsidR="0032579A">
              <w:rPr>
                <w:rFonts w:ascii="Arial" w:hAnsi="Arial" w:cs="Arial"/>
                <w:b/>
              </w:rPr>
              <w:t xml:space="preserve"> </w:t>
            </w:r>
            <w:r w:rsidRPr="00DD13EE">
              <w:rPr>
                <w:rFonts w:ascii="Arial" w:hAnsi="Arial" w:cs="Arial"/>
                <w:lang w:val="es-ES"/>
              </w:rPr>
              <w:t xml:space="preserve">y examinará todos y cada uno de los agravios hechos valer por el recurrente, teniendo la autoridad competente la facultad de invocar hechos notorios; pero cuando uno de los agravios sea suficiente para desvirtuar la validez del acto impugnado, bastará con el examen de dicho punto. </w:t>
            </w:r>
          </w:p>
          <w:p w:rsidR="00DD13EE" w:rsidRPr="00DD13EE" w:rsidRDefault="00DD13EE" w:rsidP="00DD13EE">
            <w:pPr>
              <w:tabs>
                <w:tab w:val="left" w:pos="3195"/>
              </w:tabs>
              <w:jc w:val="both"/>
              <w:rPr>
                <w:rFonts w:ascii="Arial" w:hAnsi="Arial" w:cs="Arial"/>
                <w:b/>
                <w:lang w:val="es-ES"/>
              </w:rPr>
            </w:pPr>
          </w:p>
          <w:p w:rsidR="00DD13EE" w:rsidRPr="00DD13EE" w:rsidRDefault="00103469" w:rsidP="00DD13EE">
            <w:pPr>
              <w:tabs>
                <w:tab w:val="left" w:pos="3195"/>
              </w:tabs>
              <w:jc w:val="both"/>
              <w:rPr>
                <w:rFonts w:ascii="Arial" w:hAnsi="Arial" w:cs="Arial"/>
                <w:lang w:val="es-ES"/>
              </w:rPr>
            </w:pPr>
            <w:r>
              <w:rPr>
                <w:rFonts w:ascii="Arial" w:hAnsi="Arial" w:cs="Arial"/>
                <w:lang w:val="es-ES"/>
              </w:rPr>
              <w:t>(…)</w:t>
            </w:r>
          </w:p>
          <w:p w:rsidR="00DD13EE" w:rsidRPr="00DD13EE" w:rsidRDefault="00DD13EE" w:rsidP="00DD13EE">
            <w:pPr>
              <w:tabs>
                <w:tab w:val="left" w:pos="3195"/>
              </w:tabs>
              <w:jc w:val="both"/>
              <w:rPr>
                <w:rFonts w:ascii="Arial" w:hAnsi="Arial" w:cs="Arial"/>
                <w:lang w:val="es-ES"/>
              </w:rPr>
            </w:pPr>
          </w:p>
          <w:p w:rsidR="00DD13EE" w:rsidRPr="00D41B40" w:rsidRDefault="00103469" w:rsidP="0048321B">
            <w:pPr>
              <w:tabs>
                <w:tab w:val="left" w:pos="3195"/>
              </w:tabs>
              <w:jc w:val="both"/>
              <w:rPr>
                <w:rFonts w:ascii="Arial" w:hAnsi="Arial" w:cs="Arial"/>
                <w:lang w:val="es-ES"/>
              </w:rPr>
            </w:pPr>
            <w:r>
              <w:rPr>
                <w:rFonts w:ascii="Arial" w:hAnsi="Arial" w:cs="Arial"/>
                <w:lang w:val="es-ES"/>
              </w:rPr>
              <w:t>(…)</w:t>
            </w:r>
            <w:r w:rsidR="00DD13EE" w:rsidRPr="00DD13EE">
              <w:rPr>
                <w:rFonts w:ascii="Arial" w:hAnsi="Arial" w:cs="Arial"/>
                <w:lang w:val="es-ES"/>
              </w:rPr>
              <w:t xml:space="preserve"> </w:t>
            </w:r>
          </w:p>
        </w:tc>
      </w:tr>
    </w:tbl>
    <w:p w:rsidR="00DD13EE" w:rsidRPr="009B27ED" w:rsidRDefault="00DD13EE" w:rsidP="00871FDF">
      <w:pPr>
        <w:spacing w:after="0"/>
        <w:jc w:val="both"/>
        <w:rPr>
          <w:rFonts w:cs="Arial"/>
          <w:szCs w:val="24"/>
          <w:lang w:val="es-ES_tradnl"/>
        </w:rPr>
      </w:pPr>
    </w:p>
    <w:p w:rsidR="00EF1E73" w:rsidRPr="00D86F08" w:rsidRDefault="00C00005" w:rsidP="00D86F08">
      <w:pPr>
        <w:spacing w:before="240" w:after="240" w:line="276" w:lineRule="auto"/>
        <w:jc w:val="center"/>
        <w:rPr>
          <w:b/>
          <w:szCs w:val="24"/>
          <w:lang w:val="es-ES_tradnl"/>
        </w:rPr>
      </w:pPr>
      <w:r w:rsidRPr="005E054A">
        <w:rPr>
          <w:b/>
          <w:szCs w:val="24"/>
          <w:lang w:val="es-ES_tradnl"/>
        </w:rPr>
        <w:t>PROYECTO DE DECRETO</w:t>
      </w:r>
    </w:p>
    <w:p w:rsidR="00D86F08" w:rsidRPr="0032579A" w:rsidRDefault="003E21C7" w:rsidP="00D86F08">
      <w:pPr>
        <w:spacing w:before="240" w:after="240" w:line="276" w:lineRule="auto"/>
        <w:jc w:val="both"/>
        <w:rPr>
          <w:b/>
          <w:bCs/>
          <w:lang w:val="es-ES_tradnl"/>
        </w:rPr>
      </w:pPr>
      <w:r>
        <w:rPr>
          <w:b/>
          <w:lang w:val="es-ES_tradnl"/>
        </w:rPr>
        <w:t>PRIMERO</w:t>
      </w:r>
      <w:r w:rsidR="005E054A">
        <w:rPr>
          <w:b/>
          <w:lang w:val="es-ES_tradnl"/>
        </w:rPr>
        <w:t>.-</w:t>
      </w:r>
      <w:r w:rsidR="00C00005" w:rsidRPr="00C00005">
        <w:rPr>
          <w:lang w:val="es-ES_tradnl"/>
        </w:rPr>
        <w:t xml:space="preserve"> </w:t>
      </w:r>
      <w:r w:rsidR="0032579A">
        <w:rPr>
          <w:b/>
          <w:lang w:val="es-ES_tradnl"/>
        </w:rPr>
        <w:t>Se adiciona los</w:t>
      </w:r>
      <w:r w:rsidR="00EB5875">
        <w:rPr>
          <w:b/>
          <w:lang w:val="es-ES_tradnl"/>
        </w:rPr>
        <w:t xml:space="preserve"> artículo</w:t>
      </w:r>
      <w:r w:rsidR="0032579A">
        <w:rPr>
          <w:b/>
          <w:lang w:val="es-ES_tradnl"/>
        </w:rPr>
        <w:t>s 57 y 125</w:t>
      </w:r>
      <w:r w:rsidR="00871FDF">
        <w:rPr>
          <w:b/>
          <w:lang w:val="es-ES_tradnl"/>
        </w:rPr>
        <w:t xml:space="preserve"> la </w:t>
      </w:r>
      <w:r w:rsidR="00EB5875" w:rsidRPr="00EB5875">
        <w:rPr>
          <w:b/>
          <w:bCs/>
          <w:lang w:val="es-ES_tradnl"/>
        </w:rPr>
        <w:t xml:space="preserve">Ley de </w:t>
      </w:r>
      <w:r w:rsidR="0032579A">
        <w:rPr>
          <w:b/>
          <w:bCs/>
          <w:lang w:val="es-ES_tradnl"/>
        </w:rPr>
        <w:t>Procedimiento Administrativo de la</w:t>
      </w:r>
      <w:r w:rsidR="00EB5875" w:rsidRPr="00EB5875">
        <w:rPr>
          <w:b/>
          <w:bCs/>
          <w:lang w:val="es-ES_tradnl"/>
        </w:rPr>
        <w:t xml:space="preserve"> Ciudad de México</w:t>
      </w:r>
      <w:r w:rsidR="009B27ED">
        <w:rPr>
          <w:b/>
          <w:lang w:val="es-ES_tradnl"/>
        </w:rPr>
        <w:t>,</w:t>
      </w:r>
      <w:r w:rsidR="00847037">
        <w:rPr>
          <w:b/>
          <w:lang w:val="es-ES_tradnl"/>
        </w:rPr>
        <w:t xml:space="preserve"> </w:t>
      </w:r>
      <w:r w:rsidR="00EB5875">
        <w:rPr>
          <w:b/>
          <w:lang w:val="es-ES_tradnl"/>
        </w:rPr>
        <w:t>para quedar como sigue</w:t>
      </w:r>
      <w:r>
        <w:rPr>
          <w:b/>
          <w:lang w:val="es-ES_tradnl"/>
        </w:rPr>
        <w:t>:</w:t>
      </w:r>
    </w:p>
    <w:p w:rsidR="0032579A" w:rsidRPr="0032579A" w:rsidRDefault="0032579A" w:rsidP="0032579A">
      <w:pPr>
        <w:spacing w:after="0" w:line="240" w:lineRule="auto"/>
        <w:jc w:val="both"/>
        <w:rPr>
          <w:rFonts w:cs="Arial"/>
          <w:b/>
          <w:bCs/>
          <w:color w:val="000000"/>
          <w:lang w:val="es-ES_tradnl"/>
        </w:rPr>
      </w:pPr>
    </w:p>
    <w:p w:rsidR="00103469" w:rsidRPr="00DD13EE" w:rsidRDefault="00103469" w:rsidP="00103469">
      <w:pPr>
        <w:tabs>
          <w:tab w:val="left" w:pos="3195"/>
        </w:tabs>
        <w:jc w:val="both"/>
        <w:rPr>
          <w:rFonts w:cs="Arial"/>
          <w:lang w:val="es-ES"/>
        </w:rPr>
      </w:pPr>
      <w:r w:rsidRPr="00DD13EE">
        <w:rPr>
          <w:rFonts w:cs="Arial"/>
          <w:b/>
          <w:bCs/>
          <w:lang w:val="es-ES"/>
        </w:rPr>
        <w:t xml:space="preserve">Artículo 57.-  </w:t>
      </w:r>
      <w:r>
        <w:rPr>
          <w:rFonts w:cs="Arial"/>
          <w:lang w:val="es-ES"/>
        </w:rPr>
        <w:t>(…)</w:t>
      </w:r>
    </w:p>
    <w:p w:rsidR="00103469" w:rsidRPr="00DD13EE" w:rsidRDefault="00103469" w:rsidP="00103469">
      <w:pPr>
        <w:tabs>
          <w:tab w:val="left" w:pos="3195"/>
        </w:tabs>
        <w:jc w:val="both"/>
        <w:rPr>
          <w:rFonts w:cs="Arial"/>
          <w:lang w:val="es-ES"/>
        </w:rPr>
      </w:pPr>
      <w:r>
        <w:rPr>
          <w:rFonts w:cs="Arial"/>
          <w:lang w:val="es-ES"/>
        </w:rPr>
        <w:t>(…)</w:t>
      </w:r>
    </w:p>
    <w:p w:rsidR="00103469" w:rsidRDefault="00103469" w:rsidP="00103469">
      <w:pPr>
        <w:tabs>
          <w:tab w:val="left" w:pos="3195"/>
        </w:tabs>
        <w:jc w:val="both"/>
        <w:rPr>
          <w:rFonts w:cs="Arial"/>
          <w:b/>
        </w:rPr>
      </w:pPr>
      <w:r>
        <w:rPr>
          <w:rFonts w:cs="Arial"/>
          <w:lang w:val="es-ES"/>
        </w:rPr>
        <w:t>(…)</w:t>
      </w:r>
    </w:p>
    <w:p w:rsidR="00D41B40" w:rsidRPr="00DD13EE" w:rsidRDefault="00D41B40" w:rsidP="00D41B40">
      <w:pPr>
        <w:tabs>
          <w:tab w:val="left" w:pos="3195"/>
        </w:tabs>
        <w:jc w:val="both"/>
        <w:rPr>
          <w:rFonts w:cs="Arial"/>
          <w:lang w:val="es-ES"/>
        </w:rPr>
      </w:pPr>
      <w:r>
        <w:rPr>
          <w:rFonts w:cs="Arial"/>
          <w:b/>
        </w:rPr>
        <w:t xml:space="preserve">La autoridad en sus resoluciones </w:t>
      </w:r>
      <w:r w:rsidRPr="0032579A">
        <w:rPr>
          <w:rFonts w:cs="Arial"/>
          <w:b/>
        </w:rPr>
        <w:t>incorpora</w:t>
      </w:r>
      <w:r>
        <w:rPr>
          <w:rFonts w:cs="Arial"/>
          <w:b/>
        </w:rPr>
        <w:t>rá un apartado de</w:t>
      </w:r>
      <w:r w:rsidRPr="0032579A">
        <w:rPr>
          <w:rFonts w:cs="Arial"/>
          <w:b/>
        </w:rPr>
        <w:t xml:space="preserve"> perspectiva de </w:t>
      </w:r>
      <w:proofErr w:type="spellStart"/>
      <w:r w:rsidRPr="0032579A">
        <w:rPr>
          <w:rFonts w:cs="Arial"/>
          <w:b/>
        </w:rPr>
        <w:t>género</w:t>
      </w:r>
      <w:proofErr w:type="gramStart"/>
      <w:r w:rsidRPr="0032579A">
        <w:rPr>
          <w:rFonts w:cs="Arial"/>
          <w:b/>
        </w:rPr>
        <w:t>,</w:t>
      </w:r>
      <w:r>
        <w:rPr>
          <w:rFonts w:cs="Arial"/>
          <w:b/>
        </w:rPr>
        <w:t>en</w:t>
      </w:r>
      <w:proofErr w:type="spellEnd"/>
      <w:proofErr w:type="gramEnd"/>
      <w:r>
        <w:rPr>
          <w:rFonts w:cs="Arial"/>
          <w:b/>
        </w:rPr>
        <w:t xml:space="preserve"> el que</w:t>
      </w:r>
      <w:r w:rsidRPr="0032579A">
        <w:rPr>
          <w:rFonts w:cs="Arial"/>
          <w:b/>
        </w:rPr>
        <w:t xml:space="preserve"> de forma transversal y equitati</w:t>
      </w:r>
      <w:r>
        <w:rPr>
          <w:rFonts w:cs="Arial"/>
          <w:b/>
        </w:rPr>
        <w:t>va mediante</w:t>
      </w:r>
      <w:r w:rsidRPr="0032579A">
        <w:rPr>
          <w:rFonts w:cs="Arial"/>
          <w:b/>
        </w:rPr>
        <w:t xml:space="preserve"> el</w:t>
      </w:r>
      <w:r w:rsidRPr="0032579A">
        <w:rPr>
          <w:rFonts w:cs="Arial"/>
        </w:rPr>
        <w:t xml:space="preserve"> </w:t>
      </w:r>
      <w:r w:rsidRPr="0032579A">
        <w:rPr>
          <w:rFonts w:cs="Arial"/>
          <w:b/>
        </w:rPr>
        <w:t xml:space="preserve">análisis y razonamiento del asunto de que se trate, </w:t>
      </w:r>
      <w:r>
        <w:rPr>
          <w:rFonts w:cs="Arial"/>
          <w:b/>
        </w:rPr>
        <w:t>deberá</w:t>
      </w:r>
      <w:r w:rsidRPr="0032579A">
        <w:rPr>
          <w:rFonts w:cs="Arial"/>
          <w:b/>
        </w:rPr>
        <w:t xml:space="preserve"> garantizar a las mujeres y </w:t>
      </w:r>
      <w:r w:rsidRPr="0032579A">
        <w:rPr>
          <w:rFonts w:cs="Arial"/>
          <w:b/>
        </w:rPr>
        <w:lastRenderedPageBreak/>
        <w:t>hombres, el ejercicio y goce de sus derechos humanos, en igualdad de condiciones</w:t>
      </w:r>
      <w:r>
        <w:rPr>
          <w:rFonts w:cs="Arial"/>
          <w:b/>
        </w:rPr>
        <w:t>.</w:t>
      </w:r>
    </w:p>
    <w:p w:rsidR="00D41B40" w:rsidRPr="00DD13EE" w:rsidRDefault="00D41B40" w:rsidP="00D41B40">
      <w:pPr>
        <w:tabs>
          <w:tab w:val="left" w:pos="3195"/>
        </w:tabs>
        <w:jc w:val="both"/>
        <w:rPr>
          <w:rFonts w:cs="Arial"/>
          <w:b/>
          <w:lang w:val="es-ES"/>
        </w:rPr>
      </w:pPr>
      <w:r w:rsidRPr="00DD13EE">
        <w:rPr>
          <w:rFonts w:cs="Arial"/>
          <w:lang w:val="es-ES"/>
        </w:rPr>
        <w:t>La resolución del recurso se fundará en derecho</w:t>
      </w:r>
      <w:r>
        <w:rPr>
          <w:rFonts w:cs="Arial"/>
          <w:lang w:val="es-ES"/>
        </w:rPr>
        <w:t xml:space="preserve">, </w:t>
      </w:r>
      <w:r w:rsidRPr="0032579A">
        <w:rPr>
          <w:rFonts w:cs="Arial"/>
          <w:b/>
        </w:rPr>
        <w:t>incorpora</w:t>
      </w:r>
      <w:r>
        <w:rPr>
          <w:rFonts w:cs="Arial"/>
          <w:b/>
        </w:rPr>
        <w:t>rá un apartado de</w:t>
      </w:r>
      <w:r w:rsidRPr="0032579A">
        <w:rPr>
          <w:rFonts w:cs="Arial"/>
          <w:b/>
        </w:rPr>
        <w:t xml:space="preserve"> perspectiva de </w:t>
      </w:r>
      <w:proofErr w:type="spellStart"/>
      <w:r w:rsidRPr="0032579A">
        <w:rPr>
          <w:rFonts w:cs="Arial"/>
          <w:b/>
        </w:rPr>
        <w:t>género,</w:t>
      </w:r>
      <w:r>
        <w:rPr>
          <w:rFonts w:cs="Arial"/>
          <w:b/>
        </w:rPr>
        <w:t>en</w:t>
      </w:r>
      <w:proofErr w:type="spellEnd"/>
      <w:r>
        <w:rPr>
          <w:rFonts w:cs="Arial"/>
          <w:b/>
        </w:rPr>
        <w:t xml:space="preserve"> el que</w:t>
      </w:r>
      <w:r w:rsidRPr="0032579A">
        <w:rPr>
          <w:rFonts w:cs="Arial"/>
          <w:b/>
        </w:rPr>
        <w:t xml:space="preserve"> de forma transversal y equitati</w:t>
      </w:r>
      <w:r>
        <w:rPr>
          <w:rFonts w:cs="Arial"/>
          <w:b/>
        </w:rPr>
        <w:t>va mediante</w:t>
      </w:r>
      <w:r w:rsidRPr="0032579A">
        <w:rPr>
          <w:rFonts w:cs="Arial"/>
          <w:b/>
        </w:rPr>
        <w:t xml:space="preserve"> el</w:t>
      </w:r>
      <w:r w:rsidRPr="0032579A">
        <w:rPr>
          <w:rFonts w:cs="Arial"/>
        </w:rPr>
        <w:t xml:space="preserve"> </w:t>
      </w:r>
      <w:r w:rsidRPr="0032579A">
        <w:rPr>
          <w:rFonts w:cs="Arial"/>
          <w:b/>
        </w:rPr>
        <w:t xml:space="preserve">análisis y razonamiento del asunto de que se trate, </w:t>
      </w:r>
      <w:r>
        <w:rPr>
          <w:rFonts w:cs="Arial"/>
          <w:b/>
        </w:rPr>
        <w:t>deberá</w:t>
      </w:r>
      <w:r w:rsidRPr="0032579A">
        <w:rPr>
          <w:rFonts w:cs="Arial"/>
          <w:b/>
        </w:rPr>
        <w:t xml:space="preserve"> garantizar a las mujeres y hombres, el ejercicio y goce de sus derechos humanos, en igualdad de condiciones</w:t>
      </w:r>
      <w:r>
        <w:rPr>
          <w:rFonts w:cs="Arial"/>
          <w:b/>
        </w:rPr>
        <w:t xml:space="preserve"> </w:t>
      </w:r>
      <w:r w:rsidRPr="00DD13EE">
        <w:rPr>
          <w:rFonts w:cs="Arial"/>
          <w:lang w:val="es-ES"/>
        </w:rPr>
        <w:t xml:space="preserve">y examinará todos y cada uno de los agravios hechos valer por el recurrente, teniendo la autoridad competente la facultad de invocar hechos notorios; pero cuando uno de los agravios sea suficiente para desvirtuar la validez del acto impugnado, bastará con el examen de dicho punto. </w:t>
      </w:r>
    </w:p>
    <w:p w:rsidR="00D41B40" w:rsidRPr="00DD13EE" w:rsidRDefault="00D41B40" w:rsidP="00D41B40">
      <w:pPr>
        <w:tabs>
          <w:tab w:val="left" w:pos="3195"/>
        </w:tabs>
        <w:jc w:val="both"/>
        <w:rPr>
          <w:rFonts w:cs="Arial"/>
          <w:lang w:val="es-ES"/>
        </w:rPr>
      </w:pPr>
      <w:r>
        <w:rPr>
          <w:rFonts w:cs="Arial"/>
          <w:lang w:val="es-ES"/>
        </w:rPr>
        <w:t>(…)</w:t>
      </w:r>
    </w:p>
    <w:p w:rsidR="00D41B40" w:rsidRPr="00DD13EE" w:rsidRDefault="00D41B40" w:rsidP="00D41B40">
      <w:pPr>
        <w:tabs>
          <w:tab w:val="left" w:pos="3195"/>
        </w:tabs>
        <w:jc w:val="both"/>
        <w:rPr>
          <w:rFonts w:cs="Arial"/>
          <w:lang w:val="es-ES"/>
        </w:rPr>
      </w:pPr>
      <w:r>
        <w:rPr>
          <w:rFonts w:cs="Arial"/>
          <w:lang w:val="es-ES"/>
        </w:rPr>
        <w:t>(…)</w:t>
      </w:r>
      <w:r w:rsidRPr="00DD13EE">
        <w:rPr>
          <w:rFonts w:cs="Arial"/>
          <w:lang w:val="es-ES"/>
        </w:rPr>
        <w:t xml:space="preserve"> </w:t>
      </w:r>
    </w:p>
    <w:p w:rsidR="0032579A" w:rsidRPr="0032579A" w:rsidRDefault="0032579A" w:rsidP="0032579A">
      <w:pPr>
        <w:spacing w:after="0" w:line="240" w:lineRule="auto"/>
        <w:jc w:val="both"/>
        <w:rPr>
          <w:rFonts w:cs="Arial"/>
          <w:bCs/>
          <w:color w:val="000000"/>
          <w:lang w:val="es-ES"/>
        </w:rPr>
      </w:pPr>
    </w:p>
    <w:p w:rsidR="0032579A" w:rsidRDefault="0032579A" w:rsidP="0032579A">
      <w:pPr>
        <w:spacing w:after="0" w:line="240" w:lineRule="auto"/>
        <w:jc w:val="both"/>
        <w:rPr>
          <w:rFonts w:cs="Arial"/>
          <w:b/>
          <w:bCs/>
          <w:color w:val="000000"/>
          <w:lang w:val="es-ES"/>
        </w:rPr>
      </w:pPr>
    </w:p>
    <w:p w:rsidR="005E054A" w:rsidRDefault="005E054A" w:rsidP="0032579A">
      <w:pPr>
        <w:spacing w:after="0" w:line="240" w:lineRule="auto"/>
        <w:jc w:val="both"/>
        <w:rPr>
          <w:rFonts w:eastAsia="Times New Roman" w:cs="Arial"/>
          <w:b/>
          <w:szCs w:val="24"/>
          <w:lang w:val="es-ES_tradnl" w:eastAsia="es-ES_tradnl"/>
        </w:rPr>
      </w:pPr>
      <w:r>
        <w:rPr>
          <w:rFonts w:eastAsia="Times New Roman" w:cs="Arial"/>
          <w:b/>
          <w:szCs w:val="24"/>
          <w:lang w:val="es-ES_tradnl" w:eastAsia="es-ES_tradnl"/>
        </w:rPr>
        <w:t>IX.- Transitorios.</w:t>
      </w:r>
    </w:p>
    <w:p w:rsidR="00EB5875" w:rsidRDefault="00EB5875" w:rsidP="00871FDF">
      <w:pPr>
        <w:spacing w:after="0" w:line="240" w:lineRule="auto"/>
        <w:jc w:val="both"/>
        <w:rPr>
          <w:rFonts w:eastAsia="Times New Roman" w:cs="Arial"/>
          <w:b/>
          <w:szCs w:val="24"/>
          <w:lang w:val="es-ES_tradnl" w:eastAsia="es-ES_tradnl"/>
        </w:rPr>
      </w:pPr>
    </w:p>
    <w:p w:rsidR="00C00005" w:rsidRPr="00C00005" w:rsidRDefault="00C00005" w:rsidP="00871FDF">
      <w:pPr>
        <w:spacing w:after="0" w:line="240" w:lineRule="auto"/>
        <w:jc w:val="both"/>
        <w:rPr>
          <w:rFonts w:eastAsia="Times New Roman" w:cs="Arial"/>
          <w:szCs w:val="24"/>
          <w:lang w:val="es-ES_tradnl" w:eastAsia="es-ES_tradnl"/>
        </w:rPr>
      </w:pPr>
      <w:r w:rsidRPr="00C00005">
        <w:rPr>
          <w:rFonts w:eastAsia="Times New Roman" w:cs="Arial"/>
          <w:b/>
          <w:szCs w:val="24"/>
          <w:lang w:val="es-ES_tradnl" w:eastAsia="es-ES_tradnl"/>
        </w:rPr>
        <w:t>PRIMERO. -</w:t>
      </w:r>
      <w:r w:rsidRPr="00C00005">
        <w:rPr>
          <w:rFonts w:eastAsia="Times New Roman" w:cs="Arial"/>
          <w:szCs w:val="24"/>
          <w:lang w:val="es-ES_tradnl" w:eastAsia="es-ES_tradnl"/>
        </w:rPr>
        <w:t xml:space="preserve"> El presente Decreto entrará en vigor al día siguiente de su publicación.</w:t>
      </w:r>
    </w:p>
    <w:p w:rsidR="00C00005" w:rsidRPr="00C00005" w:rsidRDefault="00C00005" w:rsidP="00871FDF">
      <w:pPr>
        <w:spacing w:after="0" w:line="240" w:lineRule="auto"/>
        <w:jc w:val="both"/>
        <w:rPr>
          <w:rFonts w:eastAsia="Times New Roman" w:cs="Arial"/>
          <w:szCs w:val="24"/>
          <w:lang w:val="es-ES_tradnl" w:eastAsia="es-ES_tradnl"/>
        </w:rPr>
      </w:pPr>
    </w:p>
    <w:p w:rsidR="00C00005" w:rsidRPr="00C00005" w:rsidRDefault="00C00005" w:rsidP="00871FDF">
      <w:pPr>
        <w:spacing w:after="0" w:line="240" w:lineRule="auto"/>
        <w:jc w:val="both"/>
        <w:rPr>
          <w:rFonts w:eastAsia="Times New Roman" w:cs="Arial"/>
          <w:szCs w:val="24"/>
          <w:lang w:val="es-ES_tradnl" w:eastAsia="es-ES_tradnl"/>
        </w:rPr>
      </w:pPr>
      <w:r w:rsidRPr="00C00005">
        <w:rPr>
          <w:rFonts w:eastAsia="Times New Roman" w:cs="Arial"/>
          <w:b/>
          <w:szCs w:val="24"/>
          <w:lang w:val="es-ES_tradnl" w:eastAsia="es-ES_tradnl"/>
        </w:rPr>
        <w:t>SEGUNDO.</w:t>
      </w:r>
      <w:r w:rsidR="005E054A">
        <w:rPr>
          <w:rFonts w:eastAsia="Times New Roman" w:cs="Arial"/>
          <w:b/>
          <w:szCs w:val="24"/>
          <w:lang w:val="es-ES_tradnl" w:eastAsia="es-ES_tradnl"/>
        </w:rPr>
        <w:t xml:space="preserve"> </w:t>
      </w:r>
      <w:r w:rsidR="005E054A">
        <w:rPr>
          <w:rFonts w:eastAsia="Times New Roman" w:cs="Arial"/>
          <w:szCs w:val="24"/>
          <w:lang w:val="es-ES_tradnl" w:eastAsia="es-ES_tradnl"/>
        </w:rPr>
        <w:t>-</w:t>
      </w:r>
      <w:r w:rsidRPr="00C00005">
        <w:rPr>
          <w:rFonts w:eastAsia="Times New Roman" w:cs="Arial"/>
          <w:szCs w:val="24"/>
          <w:lang w:val="es-ES_tradnl" w:eastAsia="es-ES_tradnl"/>
        </w:rPr>
        <w:t xml:space="preserve"> Publíquese en la Gaceta Oficial de la Ciudad de México y en el Diario Oficial de la Federación, para su mayor difusión.</w:t>
      </w:r>
    </w:p>
    <w:p w:rsidR="00C00005" w:rsidRPr="00C00005" w:rsidRDefault="00C00005" w:rsidP="00871FDF">
      <w:pPr>
        <w:spacing w:after="0"/>
        <w:jc w:val="both"/>
        <w:rPr>
          <w:rFonts w:eastAsia="Times New Roman" w:cs="Arial"/>
          <w:szCs w:val="24"/>
          <w:lang w:val="es-ES_tradnl" w:eastAsia="es-ES_tradnl"/>
        </w:rPr>
      </w:pPr>
    </w:p>
    <w:p w:rsidR="00C00005" w:rsidRPr="00C00005" w:rsidRDefault="00C00005" w:rsidP="00871FDF">
      <w:pPr>
        <w:spacing w:after="0" w:line="240" w:lineRule="auto"/>
        <w:jc w:val="both"/>
        <w:rPr>
          <w:rFonts w:eastAsia="Times New Roman" w:cs="Arial"/>
          <w:szCs w:val="24"/>
          <w:lang w:val="es-ES_tradnl" w:eastAsia="es-ES_tradnl"/>
        </w:rPr>
      </w:pPr>
    </w:p>
    <w:p w:rsidR="00C00005" w:rsidRPr="00C00005" w:rsidRDefault="00C00005" w:rsidP="006474A8">
      <w:pPr>
        <w:spacing w:after="0" w:line="240" w:lineRule="auto"/>
        <w:jc w:val="center"/>
        <w:rPr>
          <w:rFonts w:eastAsia="Times New Roman" w:cs="Arial"/>
          <w:szCs w:val="24"/>
          <w:lang w:val="es-ES_tradnl" w:eastAsia="es-ES_tradnl"/>
        </w:rPr>
      </w:pPr>
      <w:r w:rsidRPr="00C00005">
        <w:rPr>
          <w:rFonts w:eastAsia="Times New Roman" w:cs="Arial"/>
          <w:szCs w:val="24"/>
          <w:lang w:val="es-ES_tradnl" w:eastAsia="es-ES_tradnl"/>
        </w:rPr>
        <w:t>Dado en el Recinto Legislativo de Donceles, sede del Poder Legislativo de la Ciudad de México a los</w:t>
      </w:r>
      <w:r w:rsidR="003D6222">
        <w:rPr>
          <w:rFonts w:eastAsia="Times New Roman" w:cs="Arial"/>
          <w:szCs w:val="24"/>
          <w:lang w:val="es-ES_tradnl" w:eastAsia="es-ES_tradnl"/>
        </w:rPr>
        <w:t xml:space="preserve"> </w:t>
      </w:r>
      <w:r w:rsidR="007B4591">
        <w:rPr>
          <w:rFonts w:eastAsia="Times New Roman" w:cs="Arial"/>
          <w:szCs w:val="24"/>
          <w:lang w:val="es-ES_tradnl" w:eastAsia="es-ES_tradnl"/>
        </w:rPr>
        <w:t>05</w:t>
      </w:r>
      <w:r w:rsidRPr="00C00005">
        <w:rPr>
          <w:rFonts w:eastAsia="Times New Roman" w:cs="Arial"/>
          <w:szCs w:val="24"/>
          <w:lang w:val="es-ES_tradnl" w:eastAsia="es-ES_tradnl"/>
        </w:rPr>
        <w:t xml:space="preserve"> días del mes de</w:t>
      </w:r>
      <w:r w:rsidR="001C5B2A">
        <w:rPr>
          <w:rFonts w:eastAsia="Times New Roman" w:cs="Arial"/>
          <w:szCs w:val="24"/>
          <w:lang w:val="es-ES_tradnl" w:eastAsia="es-ES_tradnl"/>
        </w:rPr>
        <w:t xml:space="preserve"> </w:t>
      </w:r>
      <w:r w:rsidR="007B4591">
        <w:rPr>
          <w:rFonts w:eastAsia="Times New Roman" w:cs="Arial"/>
          <w:szCs w:val="24"/>
          <w:lang w:val="es-ES_tradnl" w:eastAsia="es-ES_tradnl"/>
        </w:rPr>
        <w:t>noviembre</w:t>
      </w:r>
      <w:r w:rsidRPr="00C00005">
        <w:rPr>
          <w:rFonts w:eastAsia="Times New Roman" w:cs="Arial"/>
          <w:szCs w:val="24"/>
          <w:lang w:val="es-ES_tradnl" w:eastAsia="es-ES_tradnl"/>
        </w:rPr>
        <w:t xml:space="preserve"> de 2019.</w:t>
      </w:r>
    </w:p>
    <w:p w:rsidR="00C00005" w:rsidRPr="00C00005" w:rsidRDefault="00E35609" w:rsidP="006474A8">
      <w:pPr>
        <w:spacing w:after="0" w:line="240" w:lineRule="auto"/>
        <w:jc w:val="center"/>
        <w:rPr>
          <w:rFonts w:eastAsia="Times New Roman" w:cs="Arial"/>
          <w:szCs w:val="24"/>
          <w:lang w:val="es-ES_tradnl" w:eastAsia="es-ES_tradnl"/>
        </w:rPr>
      </w:pPr>
      <w:r>
        <w:rPr>
          <w:noProof/>
          <w:lang w:eastAsia="es-MX"/>
        </w:rPr>
        <w:drawing>
          <wp:anchor distT="0" distB="0" distL="114300" distR="114300" simplePos="0" relativeHeight="251658240" behindDoc="1" locked="0" layoutInCell="1" allowOverlap="1">
            <wp:simplePos x="0" y="0"/>
            <wp:positionH relativeFrom="column">
              <wp:posOffset>1937385</wp:posOffset>
            </wp:positionH>
            <wp:positionV relativeFrom="paragraph">
              <wp:posOffset>165246</wp:posOffset>
            </wp:positionV>
            <wp:extent cx="1766394" cy="161546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10-04 a la(s) 12.13.16.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6394" cy="1615468"/>
                    </a:xfrm>
                    <a:prstGeom prst="rect">
                      <a:avLst/>
                    </a:prstGeom>
                  </pic:spPr>
                </pic:pic>
              </a:graphicData>
            </a:graphic>
          </wp:anchor>
        </w:drawing>
      </w:r>
    </w:p>
    <w:p w:rsidR="00C00005" w:rsidRDefault="00C00005" w:rsidP="006474A8">
      <w:pPr>
        <w:spacing w:after="0" w:line="240" w:lineRule="auto"/>
        <w:jc w:val="center"/>
        <w:rPr>
          <w:rFonts w:eastAsia="Calibri" w:cs="Arial"/>
          <w:b/>
          <w:bCs/>
          <w:color w:val="000000"/>
          <w:szCs w:val="24"/>
          <w:lang w:val="es-ES_tradnl" w:eastAsia="es-MX"/>
        </w:rPr>
      </w:pPr>
      <w:r w:rsidRPr="00C00005">
        <w:rPr>
          <w:rFonts w:eastAsia="Calibri" w:cs="Arial"/>
          <w:b/>
          <w:bCs/>
          <w:color w:val="000000"/>
          <w:szCs w:val="24"/>
          <w:lang w:val="es-ES_tradnl" w:eastAsia="es-MX"/>
        </w:rPr>
        <w:t>PROPONENTE</w:t>
      </w:r>
    </w:p>
    <w:p w:rsidR="00EB5875" w:rsidRDefault="00EB5875" w:rsidP="006474A8">
      <w:pPr>
        <w:spacing w:after="0" w:line="240" w:lineRule="auto"/>
        <w:jc w:val="center"/>
        <w:rPr>
          <w:rFonts w:eastAsia="Calibri" w:cs="Arial"/>
          <w:b/>
          <w:bCs/>
          <w:color w:val="000000"/>
          <w:szCs w:val="24"/>
          <w:lang w:val="es-ES_tradnl" w:eastAsia="es-MX"/>
        </w:rPr>
      </w:pPr>
    </w:p>
    <w:p w:rsidR="00DD4815" w:rsidRDefault="0096153F" w:rsidP="001C5B2A">
      <w:pPr>
        <w:spacing w:after="0" w:line="240" w:lineRule="auto"/>
      </w:pPr>
      <w:r>
        <w:t xml:space="preserve"> </w:t>
      </w:r>
    </w:p>
    <w:sectPr w:rsidR="00DD4815" w:rsidSect="00C00005">
      <w:headerReference w:type="default" r:id="rId9"/>
      <w:footerReference w:type="default" r:id="rId10"/>
      <w:pgSz w:w="12240" w:h="15840" w:code="1"/>
      <w:pgMar w:top="1411" w:right="1723" w:bottom="1411" w:left="1728" w:header="720" w:footer="3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5E" w:rsidRDefault="000F755E" w:rsidP="00C00005">
      <w:pPr>
        <w:spacing w:after="0" w:line="240" w:lineRule="auto"/>
      </w:pPr>
      <w:r>
        <w:separator/>
      </w:r>
    </w:p>
  </w:endnote>
  <w:endnote w:type="continuationSeparator" w:id="0">
    <w:p w:rsidR="000F755E" w:rsidRDefault="000F755E" w:rsidP="00C00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888072"/>
      <w:docPartObj>
        <w:docPartGallery w:val="Page Numbers (Bottom of Page)"/>
        <w:docPartUnique/>
      </w:docPartObj>
    </w:sdtPr>
    <w:sdtEndPr>
      <w:rPr>
        <w:rFonts w:ascii="Impact" w:hAnsi="Impact"/>
      </w:rPr>
    </w:sdtEndPr>
    <w:sdtContent>
      <w:p w:rsidR="00D97C9F" w:rsidRDefault="001E3E7E" w:rsidP="00D97C9F">
        <w:pPr>
          <w:pStyle w:val="Piedepgina"/>
          <w:ind w:right="360"/>
        </w:pPr>
        <w:r>
          <w:rPr>
            <w:noProof/>
            <w:lang w:eastAsia="es-MX"/>
          </w:rPr>
          <w:pict>
            <v:line id="Conector recto 1" o:spid="_x0000_s2049" style="position:absolute;z-index:251661312;visibility:visible;mso-position-horizontal-relative:text;mso-position-vertical-relative:text" from="3pt,7.75pt" to="438.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" strokecolor="#4472c4" strokeweight="1pt">
              <v:stroke joinstyle="miter"/>
            </v:line>
          </w:pict>
        </w:r>
      </w:p>
      <w:p w:rsidR="00D97C9F" w:rsidRPr="00C00D54" w:rsidRDefault="00D97C9F" w:rsidP="00D97C9F">
        <w:pPr>
          <w:pStyle w:val="Piedepgina"/>
          <w:jc w:val="center"/>
          <w:rPr>
            <w:rFonts w:cs="Arial"/>
            <w:sz w:val="15"/>
            <w:szCs w:val="15"/>
          </w:rPr>
        </w:pPr>
        <w:r w:rsidRPr="00C00D54">
          <w:rPr>
            <w:rFonts w:cs="Arial"/>
            <w:sz w:val="15"/>
            <w:szCs w:val="15"/>
          </w:rPr>
          <w:t>Plaza de la Constitución No. 7, 2do. Piso, oficina 202, Col. Centro Histórico, Alcaldía Cuauhtémoc, C.P. 06010, Ciudad de México, teléfono 51301980 ext. 2211 y 2243</w:t>
        </w:r>
      </w:p>
      <w:sdt>
        <w:sdtPr>
          <w:rPr>
            <w:rStyle w:val="Nmerodepgina"/>
          </w:rPr>
          <w:id w:val="1290017013"/>
          <w:docPartObj>
            <w:docPartGallery w:val="Page Numbers (Bottom of Page)"/>
            <w:docPartUnique/>
          </w:docPartObj>
        </w:sdtPr>
        <w:sdtContent>
          <w:p w:rsidR="00D97C9F" w:rsidRDefault="001E3E7E" w:rsidP="00D97C9F">
            <w:pPr>
              <w:pStyle w:val="Piedepgina"/>
              <w:framePr w:w="313" w:h="361" w:hRule="exact" w:wrap="none" w:vAnchor="text" w:hAnchor="page" w:x="6109" w:y="66"/>
              <w:rPr>
                <w:rStyle w:val="Nmerodepgina"/>
              </w:rPr>
            </w:pPr>
            <w:r>
              <w:rPr>
                <w:rStyle w:val="Nmerodepgina"/>
              </w:rPr>
              <w:fldChar w:fldCharType="begin"/>
            </w:r>
            <w:r w:rsidR="00D97C9F">
              <w:rPr>
                <w:rStyle w:val="Nmerodepgina"/>
              </w:rPr>
              <w:instrText xml:space="preserve"> PAGE </w:instrText>
            </w:r>
            <w:r>
              <w:rPr>
                <w:rStyle w:val="Nmerodepgina"/>
              </w:rPr>
              <w:fldChar w:fldCharType="separate"/>
            </w:r>
            <w:r w:rsidR="007B4591">
              <w:rPr>
                <w:rStyle w:val="Nmerodepgina"/>
                <w:noProof/>
              </w:rPr>
              <w:t>10</w:t>
            </w:r>
            <w:r>
              <w:rPr>
                <w:rStyle w:val="Nmerodepgina"/>
              </w:rPr>
              <w:fldChar w:fldCharType="end"/>
            </w:r>
          </w:p>
        </w:sdtContent>
      </w:sdt>
      <w:p w:rsidR="00D97C9F" w:rsidRPr="00117BA1" w:rsidRDefault="001E3E7E" w:rsidP="00D97C9F">
        <w:pPr>
          <w:pStyle w:val="Piedepgina"/>
          <w:rPr>
            <w:rFonts w:ascii="Impact" w:hAnsi="Impact"/>
          </w:rPr>
        </w:pPr>
      </w:p>
    </w:sdtContent>
  </w:sdt>
  <w:p w:rsidR="00D97C9F" w:rsidRDefault="00D97C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5E" w:rsidRDefault="000F755E" w:rsidP="00C00005">
      <w:pPr>
        <w:spacing w:after="0" w:line="240" w:lineRule="auto"/>
      </w:pPr>
      <w:r>
        <w:separator/>
      </w:r>
    </w:p>
  </w:footnote>
  <w:footnote w:type="continuationSeparator" w:id="0">
    <w:p w:rsidR="000F755E" w:rsidRDefault="000F755E" w:rsidP="00C00005">
      <w:pPr>
        <w:spacing w:after="0" w:line="240" w:lineRule="auto"/>
      </w:pPr>
      <w:r>
        <w:continuationSeparator/>
      </w:r>
    </w:p>
  </w:footnote>
  <w:footnote w:id="1">
    <w:p w:rsidR="00D97C9F" w:rsidRPr="00EF48D3" w:rsidRDefault="00D97C9F" w:rsidP="00C00005">
      <w:pPr>
        <w:rPr>
          <w:rFonts w:cs="Arial"/>
          <w:sz w:val="13"/>
          <w:szCs w:val="13"/>
        </w:rPr>
      </w:pPr>
      <w:r w:rsidRPr="00916A3B">
        <w:rPr>
          <w:rStyle w:val="Refdenotaalpie"/>
          <w:rFonts w:cs="Arial"/>
          <w:sz w:val="13"/>
          <w:szCs w:val="13"/>
        </w:rPr>
        <w:footnoteRef/>
      </w:r>
      <w:r w:rsidRPr="00916A3B">
        <w:rPr>
          <w:rFonts w:cs="Arial"/>
          <w:sz w:val="13"/>
          <w:szCs w:val="13"/>
        </w:rPr>
        <w:t xml:space="preserve">  Véase en la siguiente liga, consultada el </w:t>
      </w:r>
      <w:r w:rsidR="0028432B">
        <w:rPr>
          <w:rFonts w:cs="Arial"/>
          <w:sz w:val="13"/>
          <w:szCs w:val="13"/>
        </w:rPr>
        <w:t>10</w:t>
      </w:r>
      <w:r w:rsidRPr="00916A3B">
        <w:rPr>
          <w:rFonts w:cs="Arial"/>
          <w:sz w:val="13"/>
          <w:szCs w:val="13"/>
        </w:rPr>
        <w:t xml:space="preserve"> de</w:t>
      </w:r>
      <w:r w:rsidR="0028432B">
        <w:rPr>
          <w:rFonts w:cs="Arial"/>
          <w:sz w:val="13"/>
          <w:szCs w:val="13"/>
        </w:rPr>
        <w:t xml:space="preserve"> octubre</w:t>
      </w:r>
      <w:r w:rsidR="005E054A">
        <w:rPr>
          <w:rFonts w:cs="Arial"/>
          <w:sz w:val="13"/>
          <w:szCs w:val="13"/>
        </w:rPr>
        <w:t xml:space="preserve"> </w:t>
      </w:r>
      <w:r w:rsidRPr="00916A3B">
        <w:rPr>
          <w:rFonts w:cs="Arial"/>
          <w:sz w:val="13"/>
          <w:szCs w:val="13"/>
        </w:rPr>
        <w:t xml:space="preserve"> de 2019 en: </w:t>
      </w:r>
      <w:hyperlink r:id="rId1" w:history="1">
        <w:r w:rsidRPr="00916A3B">
          <w:rPr>
            <w:rStyle w:val="Hipervnculo"/>
            <w:rFonts w:cs="Arial"/>
            <w:sz w:val="13"/>
            <w:szCs w:val="13"/>
          </w:rPr>
          <w:t>http://archivos.diputados.gob.mx/Comisiones_LXII/Igualdad_Genero/PROTOCOLO.pdf</w:t>
        </w:r>
      </w:hyperlink>
    </w:p>
  </w:footnote>
  <w:footnote w:id="2">
    <w:p w:rsidR="00D97C9F" w:rsidRPr="00F94F1A" w:rsidRDefault="00D97C9F" w:rsidP="00C00005">
      <w:pPr>
        <w:jc w:val="both"/>
        <w:rPr>
          <w:rFonts w:cs="Arial"/>
          <w:sz w:val="10"/>
          <w:szCs w:val="10"/>
        </w:rPr>
      </w:pPr>
      <w:r w:rsidRPr="005C0FA8">
        <w:rPr>
          <w:rStyle w:val="Refdenotaalpie"/>
          <w:sz w:val="14"/>
          <w:szCs w:val="14"/>
        </w:rPr>
        <w:footnoteRef/>
      </w:r>
      <w:r w:rsidRPr="001F0BCE">
        <w:rPr>
          <w:rFonts w:cs="Arial"/>
          <w:sz w:val="14"/>
          <w:szCs w:val="14"/>
        </w:rPr>
        <w:t xml:space="preserve">Visible en la siguiente liga, consultada el </w:t>
      </w:r>
      <w:r w:rsidR="0028432B">
        <w:rPr>
          <w:rFonts w:cs="Arial"/>
          <w:sz w:val="14"/>
          <w:szCs w:val="14"/>
        </w:rPr>
        <w:t>10</w:t>
      </w:r>
      <w:r w:rsidRPr="001F0BCE">
        <w:rPr>
          <w:rFonts w:cs="Arial"/>
          <w:sz w:val="14"/>
          <w:szCs w:val="14"/>
        </w:rPr>
        <w:t xml:space="preserve"> de </w:t>
      </w:r>
      <w:r w:rsidR="0028432B">
        <w:rPr>
          <w:rFonts w:cs="Arial"/>
          <w:sz w:val="14"/>
          <w:szCs w:val="14"/>
        </w:rPr>
        <w:t>octubre</w:t>
      </w:r>
      <w:r w:rsidRPr="001F0BCE">
        <w:rPr>
          <w:rFonts w:cs="Arial"/>
          <w:sz w:val="14"/>
          <w:szCs w:val="14"/>
        </w:rPr>
        <w:t xml:space="preserve"> de 2019 en: </w:t>
      </w:r>
      <w:hyperlink r:id="rId2" w:history="1">
        <w:r w:rsidRPr="001F0BCE">
          <w:rPr>
            <w:rStyle w:val="Hipervnculo"/>
            <w:rFonts w:cs="Arial"/>
            <w:sz w:val="14"/>
            <w:szCs w:val="14"/>
          </w:rPr>
          <w:t>http://www.diputados.gob.mx/LeyesBiblio/pdf/1_150519.pdf</w:t>
        </w:r>
      </w:hyperlink>
    </w:p>
  </w:footnote>
  <w:footnote w:id="3">
    <w:p w:rsidR="00D97C9F" w:rsidRPr="00103469" w:rsidRDefault="00D97C9F" w:rsidP="00C00005">
      <w:pPr>
        <w:jc w:val="both"/>
        <w:rPr>
          <w:rFonts w:cs="Arial"/>
          <w:sz w:val="14"/>
          <w:szCs w:val="14"/>
        </w:rPr>
      </w:pPr>
      <w:r w:rsidRPr="00103469">
        <w:rPr>
          <w:rStyle w:val="Refdenotaalpie"/>
          <w:sz w:val="14"/>
          <w:szCs w:val="14"/>
        </w:rPr>
        <w:footnoteRef/>
      </w:r>
      <w:r w:rsidRPr="00103469">
        <w:rPr>
          <w:sz w:val="14"/>
          <w:szCs w:val="14"/>
        </w:rPr>
        <w:t xml:space="preserve"> </w:t>
      </w:r>
      <w:r w:rsidRPr="00103469">
        <w:rPr>
          <w:rFonts w:cs="Arial"/>
          <w:sz w:val="14"/>
          <w:szCs w:val="14"/>
        </w:rPr>
        <w:t xml:space="preserve">Visible en la siguiente liga, consultada el </w:t>
      </w:r>
      <w:r w:rsidR="0028432B" w:rsidRPr="00103469">
        <w:rPr>
          <w:rFonts w:cs="Arial"/>
          <w:sz w:val="14"/>
          <w:szCs w:val="14"/>
        </w:rPr>
        <w:t>10</w:t>
      </w:r>
      <w:r w:rsidRPr="00103469">
        <w:rPr>
          <w:rFonts w:cs="Arial"/>
          <w:sz w:val="14"/>
          <w:szCs w:val="14"/>
        </w:rPr>
        <w:t xml:space="preserve"> de </w:t>
      </w:r>
      <w:r w:rsidR="0028432B" w:rsidRPr="00103469">
        <w:rPr>
          <w:rFonts w:cs="Arial"/>
          <w:sz w:val="14"/>
          <w:szCs w:val="14"/>
        </w:rPr>
        <w:t>octubre</w:t>
      </w:r>
      <w:r w:rsidRPr="00103469">
        <w:rPr>
          <w:rFonts w:cs="Arial"/>
          <w:sz w:val="14"/>
          <w:szCs w:val="14"/>
        </w:rPr>
        <w:t xml:space="preserve"> de 2019 en: </w:t>
      </w:r>
    </w:p>
    <w:p w:rsidR="00D97C9F" w:rsidRPr="001F0BCE" w:rsidRDefault="001E3E7E" w:rsidP="000B64BD">
      <w:pPr>
        <w:tabs>
          <w:tab w:val="left" w:pos="7200"/>
        </w:tabs>
        <w:jc w:val="both"/>
        <w:rPr>
          <w:rFonts w:cs="Arial"/>
          <w:sz w:val="14"/>
          <w:szCs w:val="14"/>
        </w:rPr>
      </w:pPr>
      <w:hyperlink r:id="rId3" w:history="1">
        <w:r w:rsidR="00D97C9F" w:rsidRPr="00103469">
          <w:rPr>
            <w:rStyle w:val="Hipervnculo"/>
            <w:rFonts w:cs="Arial"/>
            <w:sz w:val="14"/>
            <w:szCs w:val="14"/>
          </w:rPr>
          <w:t>http://www3.contraloriadf.gob.mx/prontuario/index.php/normativas/Template/ver_mas/66319/69/1/0</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9F" w:rsidRDefault="00E76B2A" w:rsidP="00D97C9F">
    <w:pPr>
      <w:pStyle w:val="Default"/>
    </w:pPr>
    <w:r>
      <w:rPr>
        <w:rFonts w:ascii="Times New Roman" w:eastAsia="Times New Roman" w:hAnsi="Times New Roman" w:cs="Times New Roman"/>
        <w:noProof/>
        <w:lang w:eastAsia="es-MX"/>
      </w:rPr>
      <w:drawing>
        <wp:anchor distT="0" distB="0" distL="114300" distR="114300" simplePos="0" relativeHeight="251663360" behindDoc="1" locked="0" layoutInCell="1" allowOverlap="1">
          <wp:simplePos x="0" y="0"/>
          <wp:positionH relativeFrom="column">
            <wp:posOffset>4443915</wp:posOffset>
          </wp:positionH>
          <wp:positionV relativeFrom="paragraph">
            <wp:posOffset>-110875</wp:posOffset>
          </wp:positionV>
          <wp:extent cx="1347216" cy="134721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vr rosa-01.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7216" cy="1347216"/>
                  </a:xfrm>
                  <a:prstGeom prst="rect">
                    <a:avLst/>
                  </a:prstGeom>
                </pic:spPr>
              </pic:pic>
            </a:graphicData>
          </a:graphic>
        </wp:anchor>
      </w:drawing>
    </w:r>
    <w:r w:rsidR="00D97C9F" w:rsidRPr="00C06B91">
      <w:rPr>
        <w:noProof/>
        <w:sz w:val="20"/>
        <w:lang w:eastAsia="es-MX"/>
      </w:rPr>
      <w:drawing>
        <wp:anchor distT="0" distB="0" distL="114300" distR="114300" simplePos="0" relativeHeight="251658240" behindDoc="1" locked="0" layoutInCell="1" allowOverlap="1">
          <wp:simplePos x="0" y="0"/>
          <wp:positionH relativeFrom="column">
            <wp:posOffset>-144780</wp:posOffset>
          </wp:positionH>
          <wp:positionV relativeFrom="paragraph">
            <wp:posOffset>90131</wp:posOffset>
          </wp:positionV>
          <wp:extent cx="1063762" cy="67627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3762" cy="676275"/>
                  </a:xfrm>
                  <a:prstGeom prst="rect">
                    <a:avLst/>
                  </a:prstGeom>
                  <a:noFill/>
                  <a:ln>
                    <a:noFill/>
                  </a:ln>
                </pic:spPr>
              </pic:pic>
            </a:graphicData>
          </a:graphic>
        </wp:anchor>
      </w:drawing>
    </w:r>
  </w:p>
  <w:p w:rsidR="00D97C9F" w:rsidRDefault="00D97C9F" w:rsidP="00D97C9F">
    <w:pPr>
      <w:pStyle w:val="Encabezado"/>
      <w:jc w:val="center"/>
      <w:rPr>
        <w:b/>
        <w:bCs/>
        <w:sz w:val="26"/>
        <w:szCs w:val="26"/>
      </w:rPr>
    </w:pPr>
    <w:r>
      <w:rPr>
        <w:b/>
        <w:bCs/>
        <w:sz w:val="26"/>
        <w:szCs w:val="26"/>
      </w:rPr>
      <w:t xml:space="preserve">   </w:t>
    </w:r>
    <w:r w:rsidRPr="00E53184">
      <w:rPr>
        <w:b/>
        <w:bCs/>
        <w:sz w:val="23"/>
        <w:szCs w:val="23"/>
      </w:rPr>
      <w:t>DIP. CHRISTIAN DAMIÁN VON ROEHRICH DE LA ISLA</w:t>
    </w:r>
    <w:r>
      <w:rPr>
        <w:b/>
        <w:bCs/>
        <w:sz w:val="26"/>
        <w:szCs w:val="26"/>
      </w:rPr>
      <w:t>.</w:t>
    </w:r>
  </w:p>
  <w:p w:rsidR="00D97C9F" w:rsidRPr="006A3BE3" w:rsidRDefault="00423E91" w:rsidP="00423E91">
    <w:pPr>
      <w:pStyle w:val="Encabezado"/>
      <w:tabs>
        <w:tab w:val="clear" w:pos="4419"/>
        <w:tab w:val="center" w:pos="4394"/>
        <w:tab w:val="left" w:pos="8092"/>
      </w:tabs>
      <w:rPr>
        <w:color w:val="4472C4" w:themeColor="accent1"/>
        <w:sz w:val="20"/>
      </w:rPr>
    </w:pPr>
    <w:r>
      <w:rPr>
        <w:b/>
        <w:bCs/>
        <w:color w:val="4472C4" w:themeColor="accent1"/>
        <w:sz w:val="30"/>
        <w:szCs w:val="30"/>
      </w:rPr>
      <w:tab/>
    </w:r>
    <w:r w:rsidR="00D97C9F" w:rsidRPr="006A3BE3">
      <w:rPr>
        <w:b/>
        <w:bCs/>
        <w:color w:val="4472C4" w:themeColor="accent1"/>
        <w:sz w:val="30"/>
        <w:szCs w:val="30"/>
      </w:rPr>
      <w:t xml:space="preserve">VICECOORDINADOR DEL GPPAN </w:t>
    </w:r>
    <w:r>
      <w:rPr>
        <w:b/>
        <w:bCs/>
        <w:color w:val="4472C4" w:themeColor="accent1"/>
        <w:sz w:val="30"/>
        <w:szCs w:val="30"/>
      </w:rPr>
      <w:tab/>
    </w:r>
  </w:p>
  <w:p w:rsidR="00D97C9F" w:rsidRDefault="00D97C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C65"/>
    <w:multiLevelType w:val="hybridMultilevel"/>
    <w:tmpl w:val="23FCBE88"/>
    <w:lvl w:ilvl="0" w:tplc="040A0013">
      <w:start w:val="1"/>
      <w:numFmt w:val="upperRoman"/>
      <w:lvlText w:val="%1."/>
      <w:lvlJc w:val="right"/>
      <w:pPr>
        <w:ind w:left="1080" w:hanging="360"/>
      </w:pPr>
      <w:rPr>
        <w:rFonts w:hint="default"/>
        <w:w w:val="100"/>
        <w:sz w:val="16"/>
        <w:szCs w:val="16"/>
        <w:lang w:val="es-MX" w:eastAsia="es-MX" w:bidi="es-MX"/>
      </w:rPr>
    </w:lvl>
    <w:lvl w:ilvl="1" w:tplc="854AE512">
      <w:numFmt w:val="bullet"/>
      <w:lvlText w:val="•"/>
      <w:lvlJc w:val="left"/>
      <w:pPr>
        <w:ind w:left="1258" w:hanging="135"/>
      </w:pPr>
      <w:rPr>
        <w:rFonts w:hint="default"/>
        <w:lang w:val="es-MX" w:eastAsia="es-MX" w:bidi="es-MX"/>
      </w:rPr>
    </w:lvl>
    <w:lvl w:ilvl="2" w:tplc="93884E40">
      <w:numFmt w:val="bullet"/>
      <w:lvlText w:val="•"/>
      <w:lvlJc w:val="left"/>
      <w:pPr>
        <w:ind w:left="2256" w:hanging="135"/>
      </w:pPr>
      <w:rPr>
        <w:rFonts w:hint="default"/>
        <w:lang w:val="es-MX" w:eastAsia="es-MX" w:bidi="es-MX"/>
      </w:rPr>
    </w:lvl>
    <w:lvl w:ilvl="3" w:tplc="4712061E">
      <w:numFmt w:val="bullet"/>
      <w:lvlText w:val="•"/>
      <w:lvlJc w:val="left"/>
      <w:pPr>
        <w:ind w:left="3254" w:hanging="135"/>
      </w:pPr>
      <w:rPr>
        <w:rFonts w:hint="default"/>
        <w:lang w:val="es-MX" w:eastAsia="es-MX" w:bidi="es-MX"/>
      </w:rPr>
    </w:lvl>
    <w:lvl w:ilvl="4" w:tplc="137A8728">
      <w:numFmt w:val="bullet"/>
      <w:lvlText w:val="•"/>
      <w:lvlJc w:val="left"/>
      <w:pPr>
        <w:ind w:left="4252" w:hanging="135"/>
      </w:pPr>
      <w:rPr>
        <w:rFonts w:hint="default"/>
        <w:lang w:val="es-MX" w:eastAsia="es-MX" w:bidi="es-MX"/>
      </w:rPr>
    </w:lvl>
    <w:lvl w:ilvl="5" w:tplc="86D2BC8C">
      <w:numFmt w:val="bullet"/>
      <w:lvlText w:val="•"/>
      <w:lvlJc w:val="left"/>
      <w:pPr>
        <w:ind w:left="5250" w:hanging="135"/>
      </w:pPr>
      <w:rPr>
        <w:rFonts w:hint="default"/>
        <w:lang w:val="es-MX" w:eastAsia="es-MX" w:bidi="es-MX"/>
      </w:rPr>
    </w:lvl>
    <w:lvl w:ilvl="6" w:tplc="CF1C1536">
      <w:numFmt w:val="bullet"/>
      <w:lvlText w:val="•"/>
      <w:lvlJc w:val="left"/>
      <w:pPr>
        <w:ind w:left="6248" w:hanging="135"/>
      </w:pPr>
      <w:rPr>
        <w:rFonts w:hint="default"/>
        <w:lang w:val="es-MX" w:eastAsia="es-MX" w:bidi="es-MX"/>
      </w:rPr>
    </w:lvl>
    <w:lvl w:ilvl="7" w:tplc="174E6706">
      <w:numFmt w:val="bullet"/>
      <w:lvlText w:val="•"/>
      <w:lvlJc w:val="left"/>
      <w:pPr>
        <w:ind w:left="7246" w:hanging="135"/>
      </w:pPr>
      <w:rPr>
        <w:rFonts w:hint="default"/>
        <w:lang w:val="es-MX" w:eastAsia="es-MX" w:bidi="es-MX"/>
      </w:rPr>
    </w:lvl>
    <w:lvl w:ilvl="8" w:tplc="AB7649D0">
      <w:numFmt w:val="bullet"/>
      <w:lvlText w:val="•"/>
      <w:lvlJc w:val="left"/>
      <w:pPr>
        <w:ind w:left="8244" w:hanging="135"/>
      </w:pPr>
      <w:rPr>
        <w:rFonts w:hint="default"/>
        <w:lang w:val="es-MX" w:eastAsia="es-MX" w:bidi="es-MX"/>
      </w:rPr>
    </w:lvl>
  </w:abstractNum>
  <w:abstractNum w:abstractNumId="1">
    <w:nsid w:val="1BB814EE"/>
    <w:multiLevelType w:val="hybridMultilevel"/>
    <w:tmpl w:val="9B1874BC"/>
    <w:lvl w:ilvl="0" w:tplc="040A0013">
      <w:start w:val="1"/>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6DD37C69"/>
    <w:multiLevelType w:val="hybridMultilevel"/>
    <w:tmpl w:val="23FCBE88"/>
    <w:lvl w:ilvl="0" w:tplc="040A0013">
      <w:start w:val="1"/>
      <w:numFmt w:val="upperRoman"/>
      <w:lvlText w:val="%1."/>
      <w:lvlJc w:val="right"/>
      <w:pPr>
        <w:ind w:left="1080" w:hanging="360"/>
      </w:pPr>
      <w:rPr>
        <w:rFonts w:hint="default"/>
        <w:w w:val="100"/>
        <w:sz w:val="16"/>
        <w:szCs w:val="16"/>
        <w:lang w:val="es-MX" w:eastAsia="es-MX" w:bidi="es-MX"/>
      </w:rPr>
    </w:lvl>
    <w:lvl w:ilvl="1" w:tplc="854AE512">
      <w:numFmt w:val="bullet"/>
      <w:lvlText w:val="•"/>
      <w:lvlJc w:val="left"/>
      <w:pPr>
        <w:ind w:left="1258" w:hanging="135"/>
      </w:pPr>
      <w:rPr>
        <w:rFonts w:hint="default"/>
        <w:lang w:val="es-MX" w:eastAsia="es-MX" w:bidi="es-MX"/>
      </w:rPr>
    </w:lvl>
    <w:lvl w:ilvl="2" w:tplc="93884E40">
      <w:numFmt w:val="bullet"/>
      <w:lvlText w:val="•"/>
      <w:lvlJc w:val="left"/>
      <w:pPr>
        <w:ind w:left="2256" w:hanging="135"/>
      </w:pPr>
      <w:rPr>
        <w:rFonts w:hint="default"/>
        <w:lang w:val="es-MX" w:eastAsia="es-MX" w:bidi="es-MX"/>
      </w:rPr>
    </w:lvl>
    <w:lvl w:ilvl="3" w:tplc="4712061E">
      <w:numFmt w:val="bullet"/>
      <w:lvlText w:val="•"/>
      <w:lvlJc w:val="left"/>
      <w:pPr>
        <w:ind w:left="3254" w:hanging="135"/>
      </w:pPr>
      <w:rPr>
        <w:rFonts w:hint="default"/>
        <w:lang w:val="es-MX" w:eastAsia="es-MX" w:bidi="es-MX"/>
      </w:rPr>
    </w:lvl>
    <w:lvl w:ilvl="4" w:tplc="137A8728">
      <w:numFmt w:val="bullet"/>
      <w:lvlText w:val="•"/>
      <w:lvlJc w:val="left"/>
      <w:pPr>
        <w:ind w:left="4252" w:hanging="135"/>
      </w:pPr>
      <w:rPr>
        <w:rFonts w:hint="default"/>
        <w:lang w:val="es-MX" w:eastAsia="es-MX" w:bidi="es-MX"/>
      </w:rPr>
    </w:lvl>
    <w:lvl w:ilvl="5" w:tplc="86D2BC8C">
      <w:numFmt w:val="bullet"/>
      <w:lvlText w:val="•"/>
      <w:lvlJc w:val="left"/>
      <w:pPr>
        <w:ind w:left="5250" w:hanging="135"/>
      </w:pPr>
      <w:rPr>
        <w:rFonts w:hint="default"/>
        <w:lang w:val="es-MX" w:eastAsia="es-MX" w:bidi="es-MX"/>
      </w:rPr>
    </w:lvl>
    <w:lvl w:ilvl="6" w:tplc="CF1C1536">
      <w:numFmt w:val="bullet"/>
      <w:lvlText w:val="•"/>
      <w:lvlJc w:val="left"/>
      <w:pPr>
        <w:ind w:left="6248" w:hanging="135"/>
      </w:pPr>
      <w:rPr>
        <w:rFonts w:hint="default"/>
        <w:lang w:val="es-MX" w:eastAsia="es-MX" w:bidi="es-MX"/>
      </w:rPr>
    </w:lvl>
    <w:lvl w:ilvl="7" w:tplc="174E6706">
      <w:numFmt w:val="bullet"/>
      <w:lvlText w:val="•"/>
      <w:lvlJc w:val="left"/>
      <w:pPr>
        <w:ind w:left="7246" w:hanging="135"/>
      </w:pPr>
      <w:rPr>
        <w:rFonts w:hint="default"/>
        <w:lang w:val="es-MX" w:eastAsia="es-MX" w:bidi="es-MX"/>
      </w:rPr>
    </w:lvl>
    <w:lvl w:ilvl="8" w:tplc="AB7649D0">
      <w:numFmt w:val="bullet"/>
      <w:lvlText w:val="•"/>
      <w:lvlJc w:val="left"/>
      <w:pPr>
        <w:ind w:left="8244" w:hanging="135"/>
      </w:pPr>
      <w:rPr>
        <w:rFonts w:hint="default"/>
        <w:lang w:val="es-MX" w:eastAsia="es-MX" w:bidi="es-MX"/>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00005"/>
    <w:rsid w:val="00000B5F"/>
    <w:rsid w:val="00022502"/>
    <w:rsid w:val="00037C80"/>
    <w:rsid w:val="00060EE2"/>
    <w:rsid w:val="000613A7"/>
    <w:rsid w:val="00073CD1"/>
    <w:rsid w:val="00080432"/>
    <w:rsid w:val="00086486"/>
    <w:rsid w:val="00094C78"/>
    <w:rsid w:val="000A5385"/>
    <w:rsid w:val="000B64BD"/>
    <w:rsid w:val="000C37DE"/>
    <w:rsid w:val="000D1A9C"/>
    <w:rsid w:val="000F755E"/>
    <w:rsid w:val="001030BD"/>
    <w:rsid w:val="00103469"/>
    <w:rsid w:val="00103BDC"/>
    <w:rsid w:val="001105E7"/>
    <w:rsid w:val="00111432"/>
    <w:rsid w:val="0012569D"/>
    <w:rsid w:val="00151447"/>
    <w:rsid w:val="00170AE3"/>
    <w:rsid w:val="00196311"/>
    <w:rsid w:val="001B4084"/>
    <w:rsid w:val="001C0F91"/>
    <w:rsid w:val="001C5B2A"/>
    <w:rsid w:val="001C6A88"/>
    <w:rsid w:val="001D377B"/>
    <w:rsid w:val="001E3E7E"/>
    <w:rsid w:val="001E7322"/>
    <w:rsid w:val="00220EC5"/>
    <w:rsid w:val="00231937"/>
    <w:rsid w:val="00242316"/>
    <w:rsid w:val="00281FD9"/>
    <w:rsid w:val="0028269B"/>
    <w:rsid w:val="0028432B"/>
    <w:rsid w:val="00287A8F"/>
    <w:rsid w:val="002978D8"/>
    <w:rsid w:val="002D3C16"/>
    <w:rsid w:val="002E7EF3"/>
    <w:rsid w:val="002F132A"/>
    <w:rsid w:val="00307E09"/>
    <w:rsid w:val="003251A4"/>
    <w:rsid w:val="0032579A"/>
    <w:rsid w:val="0032673B"/>
    <w:rsid w:val="003571E1"/>
    <w:rsid w:val="00365FF5"/>
    <w:rsid w:val="003B0B5C"/>
    <w:rsid w:val="003B4F27"/>
    <w:rsid w:val="003D6222"/>
    <w:rsid w:val="003E21C7"/>
    <w:rsid w:val="003F2079"/>
    <w:rsid w:val="00423E91"/>
    <w:rsid w:val="00426851"/>
    <w:rsid w:val="00440006"/>
    <w:rsid w:val="00440096"/>
    <w:rsid w:val="00441925"/>
    <w:rsid w:val="00443EAF"/>
    <w:rsid w:val="00467785"/>
    <w:rsid w:val="004719C4"/>
    <w:rsid w:val="0048321B"/>
    <w:rsid w:val="004A1F20"/>
    <w:rsid w:val="004A3927"/>
    <w:rsid w:val="004A4B11"/>
    <w:rsid w:val="004B1960"/>
    <w:rsid w:val="004C2B92"/>
    <w:rsid w:val="004C2B99"/>
    <w:rsid w:val="004E7F61"/>
    <w:rsid w:val="00564DD8"/>
    <w:rsid w:val="00571B73"/>
    <w:rsid w:val="00573442"/>
    <w:rsid w:val="00597A7E"/>
    <w:rsid w:val="005A2E10"/>
    <w:rsid w:val="005B4C3C"/>
    <w:rsid w:val="005D4861"/>
    <w:rsid w:val="005D52C0"/>
    <w:rsid w:val="005D73AC"/>
    <w:rsid w:val="005E054A"/>
    <w:rsid w:val="0062293C"/>
    <w:rsid w:val="006474A8"/>
    <w:rsid w:val="00655219"/>
    <w:rsid w:val="006828C3"/>
    <w:rsid w:val="006A3C68"/>
    <w:rsid w:val="006B3C2D"/>
    <w:rsid w:val="006D0E0F"/>
    <w:rsid w:val="0071041C"/>
    <w:rsid w:val="00745327"/>
    <w:rsid w:val="00763738"/>
    <w:rsid w:val="00763EC7"/>
    <w:rsid w:val="0077521C"/>
    <w:rsid w:val="00782D98"/>
    <w:rsid w:val="0079048A"/>
    <w:rsid w:val="007B4591"/>
    <w:rsid w:val="007E1C6D"/>
    <w:rsid w:val="0083785A"/>
    <w:rsid w:val="00847037"/>
    <w:rsid w:val="00862F49"/>
    <w:rsid w:val="00863D20"/>
    <w:rsid w:val="00871FDF"/>
    <w:rsid w:val="00885BF4"/>
    <w:rsid w:val="008A2D86"/>
    <w:rsid w:val="008B26EA"/>
    <w:rsid w:val="008E3564"/>
    <w:rsid w:val="008F06F9"/>
    <w:rsid w:val="00904DF8"/>
    <w:rsid w:val="00905348"/>
    <w:rsid w:val="0090746C"/>
    <w:rsid w:val="00960D4D"/>
    <w:rsid w:val="0096153F"/>
    <w:rsid w:val="009870AC"/>
    <w:rsid w:val="009930A6"/>
    <w:rsid w:val="009A1CE0"/>
    <w:rsid w:val="009B27ED"/>
    <w:rsid w:val="009B5F39"/>
    <w:rsid w:val="009D0F61"/>
    <w:rsid w:val="00A02A88"/>
    <w:rsid w:val="00A2570B"/>
    <w:rsid w:val="00A30BA2"/>
    <w:rsid w:val="00A32CDA"/>
    <w:rsid w:val="00A41256"/>
    <w:rsid w:val="00A44A2B"/>
    <w:rsid w:val="00A739B7"/>
    <w:rsid w:val="00A80D64"/>
    <w:rsid w:val="00AB3619"/>
    <w:rsid w:val="00AC2F2E"/>
    <w:rsid w:val="00AC5C66"/>
    <w:rsid w:val="00AD58BA"/>
    <w:rsid w:val="00AF2E42"/>
    <w:rsid w:val="00B77ABB"/>
    <w:rsid w:val="00B81A9B"/>
    <w:rsid w:val="00B907BA"/>
    <w:rsid w:val="00BA3EDF"/>
    <w:rsid w:val="00BA4048"/>
    <w:rsid w:val="00BB1937"/>
    <w:rsid w:val="00BB4BD9"/>
    <w:rsid w:val="00BE26C5"/>
    <w:rsid w:val="00C00005"/>
    <w:rsid w:val="00C214FE"/>
    <w:rsid w:val="00C62295"/>
    <w:rsid w:val="00C703D2"/>
    <w:rsid w:val="00C732CD"/>
    <w:rsid w:val="00C85357"/>
    <w:rsid w:val="00CA168B"/>
    <w:rsid w:val="00CB04F9"/>
    <w:rsid w:val="00CC360F"/>
    <w:rsid w:val="00CF42EA"/>
    <w:rsid w:val="00D41B40"/>
    <w:rsid w:val="00D44112"/>
    <w:rsid w:val="00D86F08"/>
    <w:rsid w:val="00D97C9F"/>
    <w:rsid w:val="00DA4A12"/>
    <w:rsid w:val="00DC5899"/>
    <w:rsid w:val="00DD13EE"/>
    <w:rsid w:val="00DD4815"/>
    <w:rsid w:val="00DE063D"/>
    <w:rsid w:val="00DF7A31"/>
    <w:rsid w:val="00E004F7"/>
    <w:rsid w:val="00E16BD8"/>
    <w:rsid w:val="00E2010E"/>
    <w:rsid w:val="00E32982"/>
    <w:rsid w:val="00E35609"/>
    <w:rsid w:val="00E510DF"/>
    <w:rsid w:val="00E53184"/>
    <w:rsid w:val="00E614DB"/>
    <w:rsid w:val="00E76B2A"/>
    <w:rsid w:val="00E92E5B"/>
    <w:rsid w:val="00EB5875"/>
    <w:rsid w:val="00EB7465"/>
    <w:rsid w:val="00EE79DB"/>
    <w:rsid w:val="00EF0116"/>
    <w:rsid w:val="00EF100E"/>
    <w:rsid w:val="00EF1E73"/>
    <w:rsid w:val="00F427B8"/>
    <w:rsid w:val="00F44246"/>
    <w:rsid w:val="00F44372"/>
    <w:rsid w:val="00F53E71"/>
    <w:rsid w:val="00F96CC7"/>
    <w:rsid w:val="00FA1AD6"/>
    <w:rsid w:val="00FA2123"/>
    <w:rsid w:val="00FE02F0"/>
    <w:rsid w:val="00FE47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00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005"/>
  </w:style>
  <w:style w:type="paragraph" w:styleId="Piedepgina">
    <w:name w:val="footer"/>
    <w:basedOn w:val="Normal"/>
    <w:link w:val="PiedepginaCar"/>
    <w:uiPriority w:val="99"/>
    <w:unhideWhenUsed/>
    <w:rsid w:val="00C000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005"/>
  </w:style>
  <w:style w:type="paragraph" w:customStyle="1" w:styleId="Default">
    <w:name w:val="Default"/>
    <w:rsid w:val="00C00005"/>
    <w:pPr>
      <w:autoSpaceDE w:val="0"/>
      <w:autoSpaceDN w:val="0"/>
      <w:adjustRightInd w:val="0"/>
      <w:spacing w:after="0" w:line="240" w:lineRule="auto"/>
    </w:pPr>
    <w:rPr>
      <w:rFonts w:ascii="Calibri" w:hAnsi="Calibri" w:cs="Calibri"/>
      <w:color w:val="000000"/>
      <w:szCs w:val="24"/>
    </w:rPr>
  </w:style>
  <w:style w:type="paragraph" w:styleId="Textonotapie">
    <w:name w:val="footnote text"/>
    <w:basedOn w:val="Normal"/>
    <w:link w:val="TextonotapieCar"/>
    <w:uiPriority w:val="99"/>
    <w:semiHidden/>
    <w:unhideWhenUsed/>
    <w:rsid w:val="00C00005"/>
    <w:pPr>
      <w:spacing w:after="0" w:line="240" w:lineRule="auto"/>
    </w:pPr>
    <w:rPr>
      <w:rFonts w:ascii="Calibri" w:hAnsi="Calibri"/>
      <w:sz w:val="20"/>
      <w:szCs w:val="20"/>
      <w:lang w:val="es-ES"/>
    </w:rPr>
  </w:style>
  <w:style w:type="character" w:customStyle="1" w:styleId="TextonotapieCar">
    <w:name w:val="Texto nota pie Car"/>
    <w:basedOn w:val="Fuentedeprrafopredeter"/>
    <w:link w:val="Textonotapie"/>
    <w:uiPriority w:val="99"/>
    <w:semiHidden/>
    <w:rsid w:val="00C00005"/>
    <w:rPr>
      <w:rFonts w:ascii="Calibri" w:hAnsi="Calibri"/>
      <w:sz w:val="20"/>
      <w:szCs w:val="20"/>
      <w:lang w:val="es-ES"/>
    </w:rPr>
  </w:style>
  <w:style w:type="character" w:styleId="Refdenotaalpie">
    <w:name w:val="footnote reference"/>
    <w:basedOn w:val="Fuentedeprrafopredeter"/>
    <w:uiPriority w:val="99"/>
    <w:unhideWhenUsed/>
    <w:rsid w:val="00C00005"/>
    <w:rPr>
      <w:vertAlign w:val="superscript"/>
    </w:rPr>
  </w:style>
  <w:style w:type="character" w:styleId="Hipervnculo">
    <w:name w:val="Hyperlink"/>
    <w:basedOn w:val="Fuentedeprrafopredeter"/>
    <w:uiPriority w:val="99"/>
    <w:unhideWhenUsed/>
    <w:rsid w:val="00C00005"/>
    <w:rPr>
      <w:color w:val="0000FF"/>
      <w:u w:val="single"/>
    </w:rPr>
  </w:style>
  <w:style w:type="table" w:styleId="Tablaconcuadrcula">
    <w:name w:val="Table Grid"/>
    <w:basedOn w:val="Tablanormal"/>
    <w:uiPriority w:val="39"/>
    <w:rsid w:val="00C00005"/>
    <w:pPr>
      <w:spacing w:after="0" w:line="240" w:lineRule="auto"/>
    </w:pPr>
    <w:rPr>
      <w:rFonts w:asciiTheme="minorHAnsi"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C00005"/>
  </w:style>
  <w:style w:type="paragraph" w:styleId="Prrafodelista">
    <w:name w:val="List Paragraph"/>
    <w:basedOn w:val="Normal"/>
    <w:uiPriority w:val="34"/>
    <w:qFormat/>
    <w:rsid w:val="00A80D64"/>
    <w:pPr>
      <w:ind w:left="720"/>
      <w:contextualSpacing/>
    </w:pPr>
  </w:style>
  <w:style w:type="character" w:styleId="Refdecomentario">
    <w:name w:val="annotation reference"/>
    <w:basedOn w:val="Fuentedeprrafopredeter"/>
    <w:uiPriority w:val="99"/>
    <w:semiHidden/>
    <w:unhideWhenUsed/>
    <w:rsid w:val="00443EAF"/>
    <w:rPr>
      <w:sz w:val="16"/>
      <w:szCs w:val="16"/>
    </w:rPr>
  </w:style>
  <w:style w:type="paragraph" w:styleId="Textocomentario">
    <w:name w:val="annotation text"/>
    <w:basedOn w:val="Normal"/>
    <w:link w:val="TextocomentarioCar"/>
    <w:uiPriority w:val="99"/>
    <w:semiHidden/>
    <w:unhideWhenUsed/>
    <w:rsid w:val="00443E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3EAF"/>
    <w:rPr>
      <w:sz w:val="20"/>
      <w:szCs w:val="20"/>
    </w:rPr>
  </w:style>
  <w:style w:type="paragraph" w:styleId="Asuntodelcomentario">
    <w:name w:val="annotation subject"/>
    <w:basedOn w:val="Textocomentario"/>
    <w:next w:val="Textocomentario"/>
    <w:link w:val="AsuntodelcomentarioCar"/>
    <w:uiPriority w:val="99"/>
    <w:semiHidden/>
    <w:unhideWhenUsed/>
    <w:rsid w:val="00443EAF"/>
    <w:rPr>
      <w:b/>
      <w:bCs/>
    </w:rPr>
  </w:style>
  <w:style w:type="character" w:customStyle="1" w:styleId="AsuntodelcomentarioCar">
    <w:name w:val="Asunto del comentario Car"/>
    <w:basedOn w:val="TextocomentarioCar"/>
    <w:link w:val="Asuntodelcomentario"/>
    <w:uiPriority w:val="99"/>
    <w:semiHidden/>
    <w:rsid w:val="00443EAF"/>
    <w:rPr>
      <w:b/>
      <w:bCs/>
      <w:sz w:val="20"/>
      <w:szCs w:val="20"/>
    </w:rPr>
  </w:style>
  <w:style w:type="paragraph" w:styleId="Textodeglobo">
    <w:name w:val="Balloon Text"/>
    <w:basedOn w:val="Normal"/>
    <w:link w:val="TextodegloboCar"/>
    <w:uiPriority w:val="99"/>
    <w:semiHidden/>
    <w:unhideWhenUsed/>
    <w:rsid w:val="00443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EAF"/>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97C9F"/>
    <w:rPr>
      <w:color w:val="605E5C"/>
      <w:shd w:val="clear" w:color="auto" w:fill="E1DFDD"/>
    </w:rPr>
  </w:style>
  <w:style w:type="character" w:customStyle="1" w:styleId="specialamp">
    <w:name w:val="special_amp"/>
    <w:basedOn w:val="Fuentedeprrafopredeter"/>
    <w:rsid w:val="00151447"/>
  </w:style>
  <w:style w:type="character" w:styleId="Nmerodelnea">
    <w:name w:val="line number"/>
    <w:basedOn w:val="Fuentedeprrafopredeter"/>
    <w:uiPriority w:val="99"/>
    <w:semiHidden/>
    <w:unhideWhenUsed/>
    <w:rsid w:val="00467785"/>
  </w:style>
  <w:style w:type="character" w:styleId="Hipervnculovisitado">
    <w:name w:val="FollowedHyperlink"/>
    <w:basedOn w:val="Fuentedeprrafopredeter"/>
    <w:uiPriority w:val="99"/>
    <w:semiHidden/>
    <w:unhideWhenUsed/>
    <w:rsid w:val="000B64BD"/>
    <w:rPr>
      <w:color w:val="954F72" w:themeColor="followedHyperlink"/>
      <w:u w:val="single"/>
    </w:rPr>
  </w:style>
  <w:style w:type="paragraph" w:styleId="Sinespaciado">
    <w:name w:val="No Spacing"/>
    <w:uiPriority w:val="1"/>
    <w:qFormat/>
    <w:rsid w:val="00D86F08"/>
    <w:pPr>
      <w:spacing w:after="0" w:line="240" w:lineRule="auto"/>
    </w:pPr>
  </w:style>
</w:styles>
</file>

<file path=word/webSettings.xml><?xml version="1.0" encoding="utf-8"?>
<w:webSettings xmlns:r="http://schemas.openxmlformats.org/officeDocument/2006/relationships" xmlns:w="http://schemas.openxmlformats.org/wordprocessingml/2006/main">
  <w:divs>
    <w:div w:id="718473522">
      <w:bodyDiv w:val="1"/>
      <w:marLeft w:val="0"/>
      <w:marRight w:val="0"/>
      <w:marTop w:val="0"/>
      <w:marBottom w:val="0"/>
      <w:divBdr>
        <w:top w:val="none" w:sz="0" w:space="0" w:color="auto"/>
        <w:left w:val="none" w:sz="0" w:space="0" w:color="auto"/>
        <w:bottom w:val="none" w:sz="0" w:space="0" w:color="auto"/>
        <w:right w:val="none" w:sz="0" w:space="0" w:color="auto"/>
      </w:divBdr>
    </w:div>
    <w:div w:id="726992602">
      <w:bodyDiv w:val="1"/>
      <w:marLeft w:val="0"/>
      <w:marRight w:val="0"/>
      <w:marTop w:val="0"/>
      <w:marBottom w:val="0"/>
      <w:divBdr>
        <w:top w:val="none" w:sz="0" w:space="0" w:color="auto"/>
        <w:left w:val="none" w:sz="0" w:space="0" w:color="auto"/>
        <w:bottom w:val="none" w:sz="0" w:space="0" w:color="auto"/>
        <w:right w:val="none" w:sz="0" w:space="0" w:color="auto"/>
      </w:divBdr>
    </w:div>
    <w:div w:id="749039153">
      <w:bodyDiv w:val="1"/>
      <w:marLeft w:val="0"/>
      <w:marRight w:val="0"/>
      <w:marTop w:val="0"/>
      <w:marBottom w:val="0"/>
      <w:divBdr>
        <w:top w:val="none" w:sz="0" w:space="0" w:color="auto"/>
        <w:left w:val="none" w:sz="0" w:space="0" w:color="auto"/>
        <w:bottom w:val="none" w:sz="0" w:space="0" w:color="auto"/>
        <w:right w:val="none" w:sz="0" w:space="0" w:color="auto"/>
      </w:divBdr>
    </w:div>
    <w:div w:id="1435902347">
      <w:bodyDiv w:val="1"/>
      <w:marLeft w:val="0"/>
      <w:marRight w:val="0"/>
      <w:marTop w:val="0"/>
      <w:marBottom w:val="0"/>
      <w:divBdr>
        <w:top w:val="none" w:sz="0" w:space="0" w:color="auto"/>
        <w:left w:val="none" w:sz="0" w:space="0" w:color="auto"/>
        <w:bottom w:val="none" w:sz="0" w:space="0" w:color="auto"/>
        <w:right w:val="none" w:sz="0" w:space="0" w:color="auto"/>
      </w:divBdr>
    </w:div>
    <w:div w:id="15569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3.contraloriadf.gob.mx/prontuario/index.php/normativas/Template/ver_mas/66319/69/1/0" TargetMode="External"/><Relationship Id="rId2" Type="http://schemas.openxmlformats.org/officeDocument/2006/relationships/hyperlink" Target="http://www.diputados.gob.mx/LeyesBiblio/pdf/1_150519.pdf" TargetMode="External"/><Relationship Id="rId1" Type="http://schemas.openxmlformats.org/officeDocument/2006/relationships/hyperlink" Target="http://archivos.diputados.gob.mx/Comisiones_LXII/Igualdad_Genero/PROTOCOL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F554-BF2B-4568-B0BD-FA914099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2291</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Administrador</cp:lastModifiedBy>
  <cp:revision>3</cp:revision>
  <cp:lastPrinted>2019-09-01T03:28:00Z</cp:lastPrinted>
  <dcterms:created xsi:type="dcterms:W3CDTF">2019-10-31T23:18:00Z</dcterms:created>
  <dcterms:modified xsi:type="dcterms:W3CDTF">2019-10-31T23:18:00Z</dcterms:modified>
</cp:coreProperties>
</file>